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EFF8" w14:textId="1FB4F125" w:rsidR="0022050D" w:rsidRPr="005A5251" w:rsidRDefault="0022050D">
      <w:pPr>
        <w:spacing w:line="1" w:lineRule="exact"/>
        <w:rPr>
          <w:rFonts w:asciiTheme="minorHAnsi" w:hAnsiTheme="minorHAnsi" w:cstheme="minorHAnsi"/>
          <w:color w:val="4472C4" w:themeColor="accent5"/>
        </w:rPr>
      </w:pPr>
    </w:p>
    <w:p w14:paraId="18693830" w14:textId="77777777" w:rsidR="005A5251" w:rsidRPr="005A5251" w:rsidRDefault="005A5251">
      <w:pPr>
        <w:pStyle w:val="Bodytext20"/>
        <w:rPr>
          <w:rStyle w:val="Bodytext2"/>
          <w:rFonts w:asciiTheme="minorHAnsi" w:hAnsiTheme="minorHAnsi" w:cstheme="minorHAnsi"/>
          <w:b/>
          <w:color w:val="4472C4" w:themeColor="accent5"/>
        </w:rPr>
      </w:pPr>
    </w:p>
    <w:p w14:paraId="06450E09" w14:textId="77777777" w:rsidR="005A5251" w:rsidRPr="005A5251" w:rsidRDefault="005A5251">
      <w:pPr>
        <w:pStyle w:val="Bodytext20"/>
        <w:rPr>
          <w:rStyle w:val="Bodytext2"/>
          <w:rFonts w:asciiTheme="minorHAnsi" w:hAnsiTheme="minorHAnsi" w:cstheme="minorHAnsi"/>
          <w:b/>
          <w:color w:val="4472C4" w:themeColor="accent5"/>
        </w:rPr>
      </w:pPr>
    </w:p>
    <w:p w14:paraId="6131CD2F" w14:textId="77777777" w:rsidR="005A5251" w:rsidRPr="005A5251" w:rsidRDefault="005A5251">
      <w:pPr>
        <w:pStyle w:val="Bodytext20"/>
        <w:rPr>
          <w:rStyle w:val="Bodytext2"/>
          <w:rFonts w:asciiTheme="minorHAnsi" w:hAnsiTheme="minorHAnsi" w:cstheme="minorHAnsi"/>
          <w:b/>
          <w:color w:val="4472C4" w:themeColor="accent5"/>
        </w:rPr>
      </w:pPr>
    </w:p>
    <w:p w14:paraId="6DB4802B" w14:textId="7B93EA69" w:rsidR="005A5251" w:rsidRPr="005A5251" w:rsidRDefault="001A480C">
      <w:pPr>
        <w:pStyle w:val="Bodytext20"/>
        <w:rPr>
          <w:rStyle w:val="Bodytext2"/>
          <w:rFonts w:asciiTheme="minorHAnsi" w:hAnsiTheme="minorHAnsi" w:cstheme="minorHAnsi"/>
          <w:b/>
          <w:color w:val="4472C4" w:themeColor="accent5"/>
        </w:rPr>
      </w:pPr>
      <w:r w:rsidRPr="005A5251">
        <w:rPr>
          <w:rFonts w:asciiTheme="minorHAnsi" w:hAnsiTheme="minorHAnsi" w:cstheme="minorHAnsi"/>
          <w:noProof/>
          <w:color w:val="4472C4" w:themeColor="accent5"/>
          <w:lang w:val="pl-PL"/>
        </w:rPr>
        <mc:AlternateContent>
          <mc:Choice Requires="wps">
            <w:drawing>
              <wp:anchor distT="0" distB="0" distL="0" distR="4789805" simplePos="0" relativeHeight="125829382" behindDoc="0" locked="0" layoutInCell="1" allowOverlap="1" wp14:anchorId="7ABCA9F9" wp14:editId="7494B368">
                <wp:simplePos x="0" y="0"/>
                <wp:positionH relativeFrom="margin">
                  <wp:align>center</wp:align>
                </wp:positionH>
                <wp:positionV relativeFrom="paragraph">
                  <wp:posOffset>765810</wp:posOffset>
                </wp:positionV>
                <wp:extent cx="2526030" cy="447040"/>
                <wp:effectExtent l="0" t="0" r="0" b="0"/>
                <wp:wrapTopAndBottom/>
                <wp:docPr id="6" name="Kształ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030" cy="447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41FC0" w14:textId="79B50FD0" w:rsidR="0022050D" w:rsidRPr="00FA0710" w:rsidRDefault="00750E3C">
                            <w:pPr>
                              <w:pStyle w:val="Picturecaption10"/>
                              <w:spacing w:line="240" w:lineRule="auto"/>
                              <w:ind w:firstLine="0"/>
                              <w:rPr>
                                <w:color w:val="4472C4" w:themeColor="accent5"/>
                                <w:sz w:val="36"/>
                              </w:rPr>
                            </w:pPr>
                            <w:r w:rsidRPr="00FA0710">
                              <w:rPr>
                                <w:rStyle w:val="Picturecaption1"/>
                                <w:b/>
                                <w:color w:val="4472C4" w:themeColor="accent5"/>
                                <w:sz w:val="36"/>
                                <w:u w:val="single"/>
                              </w:rPr>
                              <w:t>Regulamin</w:t>
                            </w:r>
                            <w:r w:rsidR="0044553C" w:rsidRPr="00FA0710">
                              <w:rPr>
                                <w:rStyle w:val="Picturecaption1"/>
                                <w:b/>
                                <w:color w:val="4472C4" w:themeColor="accent5"/>
                                <w:sz w:val="36"/>
                                <w:u w:val="single"/>
                              </w:rPr>
                              <w:t xml:space="preserve"> wewnętrzny</w:t>
                            </w:r>
                            <w:r w:rsidRPr="00FA0710">
                              <w:rPr>
                                <w:rStyle w:val="Picturecaption1"/>
                                <w:b/>
                                <w:color w:val="4472C4" w:themeColor="accent5"/>
                                <w:sz w:val="36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CA9F9" id="_x0000_t202" coordsize="21600,21600" o:spt="202" path="m,l,21600r21600,l21600,xe">
                <v:stroke joinstyle="miter"/>
                <v:path gradientshapeok="t" o:connecttype="rect"/>
              </v:shapetype>
              <v:shape id="Kształt 6" o:spid="_x0000_s1026" type="#_x0000_t202" style="position:absolute;left:0;text-align:left;margin-left:0;margin-top:60.3pt;width:198.9pt;height:35.2pt;z-index:125829382;visibility:visible;mso-wrap-style:square;mso-width-percent:0;mso-height-percent:0;mso-wrap-distance-left:0;mso-wrap-distance-top:0;mso-wrap-distance-right:377.15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" filled="f" stroked="f">
                <v:textbox inset="0,0,0,0">
                  <w:txbxContent>
                    <w:p w14:paraId="04241FC0" w14:textId="79B50FD0" w:rsidR="0022050D" w:rsidRPr="00FA0710" w:rsidRDefault="00750E3C">
                      <w:pPr>
                        <w:pStyle w:val="Picturecaption10"/>
                        <w:spacing w:line="240" w:lineRule="auto"/>
                        <w:ind w:firstLine="0"/>
                        <w:rPr>
                          <w:color w:val="4472C4" w:themeColor="accent5"/>
                          <w:sz w:val="36"/>
                        </w:rPr>
                      </w:pPr>
                      <w:r w:rsidRPr="00FA0710">
                        <w:rPr>
                          <w:rStyle w:val="Picturecaption1"/>
                          <w:b/>
                          <w:color w:val="4472C4" w:themeColor="accent5"/>
                          <w:sz w:val="36"/>
                          <w:u w:val="single"/>
                        </w:rPr>
                        <w:t>Regulamin</w:t>
                      </w:r>
                      <w:r w:rsidR="0044553C" w:rsidRPr="00FA0710">
                        <w:rPr>
                          <w:rStyle w:val="Picturecaption1"/>
                          <w:b/>
                          <w:color w:val="4472C4" w:themeColor="accent5"/>
                          <w:sz w:val="36"/>
                          <w:u w:val="single"/>
                        </w:rPr>
                        <w:t xml:space="preserve"> wewnętrzny</w:t>
                      </w:r>
                      <w:r w:rsidRPr="00FA0710">
                        <w:rPr>
                          <w:rStyle w:val="Picturecaption1"/>
                          <w:b/>
                          <w:color w:val="4472C4" w:themeColor="accent5"/>
                          <w:sz w:val="36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091ABB3" w14:textId="4E996495" w:rsidR="0022050D" w:rsidRPr="005A5251" w:rsidRDefault="0044553C" w:rsidP="005A5251">
      <w:pPr>
        <w:pStyle w:val="Bodytext20"/>
        <w:rPr>
          <w:rFonts w:asciiTheme="minorHAnsi" w:hAnsiTheme="minorHAnsi" w:cstheme="minorHAnsi"/>
          <w:color w:val="4472C4" w:themeColor="accent5"/>
        </w:rPr>
      </w:pP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dotyczący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 współpracy i odpowiednich ról krajowych organów nadzorczych oraz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br/>
        <w:t>Sekretariat</w:t>
      </w: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u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 EROD w odniesieniu do </w:t>
      </w: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s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kładania 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br/>
        <w:t xml:space="preserve">skargi w ramach mechanizmu dochodzenia roszczeń dostępnego dla 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br/>
        <w:t xml:space="preserve">osób fizycznych </w:t>
      </w: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z UE 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w związku z domniemanymi naruszeniami prawa Stanów Zjednoczonych 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br/>
        <w:t xml:space="preserve">w odniesieniu do ich danych gromadzonych przez władze Stanów Zjednoczonych 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br/>
      </w: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w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łaściw</w:t>
      </w:r>
      <w:r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>e</w:t>
      </w:r>
      <w:r w:rsidR="00750E3C" w:rsidRPr="005A5251">
        <w:rPr>
          <w:rStyle w:val="Bodytext2"/>
          <w:rFonts w:asciiTheme="minorHAnsi" w:hAnsiTheme="minorHAnsi" w:cstheme="minorHAnsi"/>
          <w:b/>
          <w:color w:val="4472C4" w:themeColor="accent5"/>
        </w:rPr>
        <w:t xml:space="preserve"> w sprawach bezpieczeństwa narodowego</w:t>
      </w:r>
    </w:p>
    <w:p w14:paraId="4F74CB1E" w14:textId="77777777" w:rsidR="0022050D" w:rsidRPr="005A5251" w:rsidRDefault="00750E3C">
      <w:pPr>
        <w:pStyle w:val="Bodytext30"/>
        <w:rPr>
          <w:rFonts w:asciiTheme="minorHAnsi" w:hAnsiTheme="minorHAnsi" w:cstheme="minorHAnsi"/>
          <w:color w:val="4472C4" w:themeColor="accent5"/>
        </w:rPr>
        <w:sectPr w:rsidR="0022050D" w:rsidRPr="005A5251">
          <w:pgSz w:w="11900" w:h="16840"/>
          <w:pgMar w:top="1" w:right="1481" w:bottom="1" w:left="1476" w:header="0" w:footer="3" w:gutter="0"/>
          <w:pgNumType w:start="1"/>
          <w:cols w:space="720"/>
          <w:noEndnote/>
          <w:docGrid w:linePitch="360"/>
        </w:sectPr>
      </w:pPr>
      <w:r w:rsidRPr="005A5251">
        <w:rPr>
          <w:rStyle w:val="Bodytext3"/>
          <w:rFonts w:asciiTheme="minorHAnsi" w:hAnsiTheme="minorHAnsi" w:cstheme="minorHAnsi"/>
          <w:b/>
          <w:color w:val="4472C4" w:themeColor="accent5"/>
        </w:rPr>
        <w:t>Przyjęt</w:t>
      </w:r>
      <w:r w:rsidR="0044553C" w:rsidRPr="005A5251">
        <w:rPr>
          <w:rStyle w:val="Bodytext3"/>
          <w:rFonts w:asciiTheme="minorHAnsi" w:hAnsiTheme="minorHAnsi" w:cstheme="minorHAnsi"/>
          <w:b/>
          <w:color w:val="4472C4" w:themeColor="accent5"/>
        </w:rPr>
        <w:t>y</w:t>
      </w:r>
      <w:r w:rsidRPr="005A5251">
        <w:rPr>
          <w:rStyle w:val="Bodytext3"/>
          <w:rFonts w:asciiTheme="minorHAnsi" w:hAnsiTheme="minorHAnsi" w:cstheme="minorHAnsi"/>
          <w:b/>
          <w:color w:val="4472C4" w:themeColor="accent5"/>
        </w:rPr>
        <w:t xml:space="preserve"> 17 kwietnia 2024 r.</w:t>
      </w:r>
    </w:p>
    <w:p w14:paraId="4EA1169D" w14:textId="77777777" w:rsidR="0022050D" w:rsidRPr="005A5251" w:rsidRDefault="00750E3C">
      <w:pPr>
        <w:pStyle w:val="Bodytext10"/>
        <w:spacing w:before="80" w:after="1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lastRenderedPageBreak/>
        <w:t xml:space="preserve">Poniższy regulamin wewnętrzny </w:t>
      </w:r>
      <w:r w:rsidR="0044553C" w:rsidRPr="005A5251">
        <w:rPr>
          <w:rStyle w:val="Bodytext1"/>
          <w:rFonts w:asciiTheme="minorHAnsi" w:hAnsiTheme="minorHAnsi" w:cstheme="minorHAnsi"/>
          <w:color w:val="000000" w:themeColor="text1"/>
        </w:rPr>
        <w:t>przedstawi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wytyczne dotyczące zadań sekretariatu EROD i organów nadzorczych oraz sposobu ich współpracy w celu zapewnienia, aby skarga była odpowiednio weryfikowana, rozpatrywana i przekazywana do CLPO.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1"/>
      </w:r>
    </w:p>
    <w:p w14:paraId="14ED6146" w14:textId="77777777" w:rsidR="0022050D" w:rsidRPr="005A5251" w:rsidRDefault="00750E3C">
      <w:pPr>
        <w:pStyle w:val="Heading110"/>
        <w:keepNext/>
        <w:keepLines/>
        <w:numPr>
          <w:ilvl w:val="0"/>
          <w:numId w:val="1"/>
        </w:numPr>
        <w:tabs>
          <w:tab w:val="left" w:pos="715"/>
          <w:tab w:val="left" w:pos="726"/>
        </w:tabs>
        <w:spacing w:after="140"/>
        <w:jc w:val="both"/>
        <w:rPr>
          <w:rFonts w:asciiTheme="minorHAnsi" w:hAnsiTheme="minorHAnsi" w:cstheme="minorHAnsi"/>
          <w:color w:val="000000" w:themeColor="text1"/>
        </w:rPr>
      </w:pPr>
      <w:bookmarkStart w:id="0" w:name="bookmark0"/>
      <w:r w:rsidRPr="005A5251">
        <w:rPr>
          <w:rStyle w:val="Heading11"/>
          <w:rFonts w:asciiTheme="minorHAnsi" w:hAnsiTheme="minorHAnsi" w:cstheme="minorHAnsi"/>
          <w:b/>
          <w:color w:val="000000" w:themeColor="text1"/>
        </w:rPr>
        <w:t>Zadania organów nadzorczych</w:t>
      </w:r>
      <w:r w:rsidRPr="005A5251">
        <w:rPr>
          <w:rStyle w:val="Heading11"/>
          <w:rFonts w:asciiTheme="minorHAnsi" w:hAnsiTheme="minorHAnsi" w:cstheme="minorHAnsi"/>
          <w:b/>
          <w:color w:val="000000" w:themeColor="text1"/>
          <w:vertAlign w:val="superscript"/>
        </w:rPr>
        <w:footnoteReference w:id="2"/>
      </w:r>
      <w:bookmarkEnd w:id="0"/>
    </w:p>
    <w:p w14:paraId="71B984E8" w14:textId="77777777" w:rsidR="0022050D" w:rsidRPr="005A5251" w:rsidRDefault="00750E3C">
      <w:pPr>
        <w:pStyle w:val="Bodytext1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Do zadań organu nadzorczego, który otrzymuje skargę, należy:</w:t>
      </w:r>
    </w:p>
    <w:p w14:paraId="752CA73F" w14:textId="77777777" w:rsidR="0022050D" w:rsidRPr="005A5251" w:rsidRDefault="009B5997">
      <w:pPr>
        <w:pStyle w:val="Bodytext10"/>
        <w:numPr>
          <w:ilvl w:val="0"/>
          <w:numId w:val="2"/>
        </w:numPr>
        <w:tabs>
          <w:tab w:val="left" w:pos="726"/>
        </w:tabs>
        <w:spacing w:after="220" w:line="192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weryfikacja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tożsamości skarżącego, z zastrzeżeniem uznania organów nadzorczych co do sposobów taki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ej weryfikacji, oraz sprawdzenie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, czy skarga spełnia warunki określone w sekcji 4 lit. k) </w:t>
      </w:r>
      <w:proofErr w:type="spellStart"/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ppkt</w:t>
      </w:r>
      <w:proofErr w:type="spellEnd"/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(i)–(iv) rozporządzenia wykonawczego 14086;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3"/>
      </w:r>
    </w:p>
    <w:p w14:paraId="4D191C8A" w14:textId="77777777" w:rsidR="0022050D" w:rsidRPr="005A5251" w:rsidRDefault="00750E3C">
      <w:pPr>
        <w:pStyle w:val="Bodytext10"/>
        <w:numPr>
          <w:ilvl w:val="0"/>
          <w:numId w:val="2"/>
        </w:numPr>
        <w:tabs>
          <w:tab w:val="left" w:pos="726"/>
        </w:tabs>
        <w:spacing w:after="220" w:line="173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 razie stwierdzenia kompletności – dostarczenie tłumaczenia wniosku na język angielski, jeżeli jest to konieczne i w zakresie, w jakim jest to konieczne</w:t>
      </w:r>
    </w:p>
    <w:p w14:paraId="5768AF53" w14:textId="77777777" w:rsidR="0022050D" w:rsidRPr="005A5251" w:rsidRDefault="00750E3C">
      <w:pPr>
        <w:pStyle w:val="Bodytext10"/>
        <w:numPr>
          <w:ilvl w:val="0"/>
          <w:numId w:val="2"/>
        </w:numPr>
        <w:tabs>
          <w:tab w:val="left" w:pos="726"/>
        </w:tabs>
        <w:spacing w:after="220" w:line="173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przekazanie skargi do sekretariatu EROD w formie zaszyfrowanej, jeżeli zostanie ona uznana za kompletną;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4"/>
      </w:r>
    </w:p>
    <w:p w14:paraId="661AF125" w14:textId="77777777" w:rsidR="0022050D" w:rsidRPr="005A5251" w:rsidRDefault="00750E3C">
      <w:pPr>
        <w:pStyle w:val="Bodytext10"/>
        <w:numPr>
          <w:ilvl w:val="0"/>
          <w:numId w:val="2"/>
        </w:numPr>
        <w:tabs>
          <w:tab w:val="left" w:pos="726"/>
        </w:tabs>
        <w:spacing w:after="220" w:line="190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powiadomienie skarżącego o odpowiedzi </w:t>
      </w:r>
      <w:r w:rsidR="009B5997" w:rsidRPr="005A5251">
        <w:rPr>
          <w:rFonts w:asciiTheme="minorHAnsi" w:hAnsiTheme="minorHAnsi" w:cstheme="minorHAnsi"/>
          <w:color w:val="000000" w:themeColor="text1"/>
        </w:rPr>
        <w:t>urzędnika ds. ochrony wolności obywatelskich Urzędu Dyrektora Krajowych Służb Wywiadowczych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 otrzymanej za pośrednictwem sekretariatu EROD, w tym o tłumaczeniu, jeżeli jest to konieczne i w niezbędnym zakresie, oraz poinformowanie sekretariatu EROD o dacie takiego powiadomienia;</w:t>
      </w:r>
    </w:p>
    <w:p w14:paraId="32A20B28" w14:textId="77777777" w:rsidR="0022050D" w:rsidRPr="005A5251" w:rsidRDefault="00750E3C">
      <w:pPr>
        <w:pStyle w:val="Bodytext10"/>
        <w:numPr>
          <w:ilvl w:val="0"/>
          <w:numId w:val="2"/>
        </w:numPr>
        <w:tabs>
          <w:tab w:val="left" w:pos="726"/>
        </w:tabs>
        <w:spacing w:after="140" w:line="175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przekazywanie wszelkich </w:t>
      </w:r>
      <w:proofErr w:type="spellStart"/>
      <w:r w:rsidRPr="005A5251">
        <w:rPr>
          <w:rStyle w:val="Bodytext1"/>
          <w:rFonts w:asciiTheme="minorHAnsi" w:hAnsiTheme="minorHAnsi" w:cstheme="minorHAnsi"/>
          <w:color w:val="000000" w:themeColor="text1"/>
        </w:rPr>
        <w:t>odwołań</w:t>
      </w:r>
      <w:proofErr w:type="spellEnd"/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wniesionych przez skarżącego do sekretariatu EROD w formie zaszyfrowanej;</w:t>
      </w:r>
    </w:p>
    <w:p w14:paraId="0D92DAE5" w14:textId="0CD1D806" w:rsidR="0022050D" w:rsidRPr="005A5251" w:rsidRDefault="00750E3C">
      <w:pPr>
        <w:pStyle w:val="Bodytext10"/>
        <w:numPr>
          <w:ilvl w:val="0"/>
          <w:numId w:val="2"/>
        </w:numPr>
        <w:tabs>
          <w:tab w:val="left" w:pos="726"/>
        </w:tabs>
        <w:spacing w:after="220" w:line="209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przekazanie skarżącemu odpowiedzi (</w:t>
      </w:r>
      <w:r w:rsidR="00DB4C53" w:rsidRPr="005A5251">
        <w:rPr>
          <w:rStyle w:val="Bodytext1"/>
          <w:rFonts w:asciiTheme="minorHAnsi" w:hAnsiTheme="minorHAnsi" w:cstheme="minorHAnsi"/>
          <w:color w:val="000000" w:themeColor="text1"/>
        </w:rPr>
        <w:t>ustandary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zowanej odpowiedzi) na jego odwołanie, otrzymanej za pośrednictwem sekretariatu EROD od Biura Ochrony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lastRenderedPageBreak/>
        <w:t xml:space="preserve">Prywatności i Wolności Obywatelskich </w:t>
      </w:r>
      <w:r w:rsidR="00056276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przy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Departamen</w:t>
      </w:r>
      <w:r w:rsidR="00056276" w:rsidRPr="005A5251">
        <w:rPr>
          <w:rStyle w:val="Bodytext1"/>
          <w:rFonts w:asciiTheme="minorHAnsi" w:hAnsiTheme="minorHAnsi" w:cstheme="minorHAnsi"/>
          <w:color w:val="000000" w:themeColor="text1"/>
        </w:rPr>
        <w:t>cie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Sprawiedliwości Stanów Zjednoczonych (OPCL), które zapewnia wsparcie dla </w:t>
      </w:r>
      <w:r w:rsidR="00E3585D" w:rsidRPr="005A5251">
        <w:rPr>
          <w:rStyle w:val="Bodytext1"/>
          <w:rFonts w:asciiTheme="minorHAnsi" w:hAnsiTheme="minorHAnsi" w:cstheme="minorHAnsi"/>
          <w:color w:val="000000" w:themeColor="text1"/>
        </w:rPr>
        <w:t>Sądu Odwoławczego ds. Ochrony Danych (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DPRC</w:t>
      </w:r>
      <w:r w:rsidR="00E3585D" w:rsidRPr="005A5251">
        <w:rPr>
          <w:rStyle w:val="Bodytext1"/>
          <w:rFonts w:asciiTheme="minorHAnsi" w:hAnsiTheme="minorHAnsi" w:cstheme="minorHAnsi"/>
          <w:color w:val="000000" w:themeColor="text1"/>
        </w:rPr>
        <w:t>)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 w tym oświadczenie DPRC, że zakończył przegląd, w tym tłumaczenie, jeżeli i w niezbędnym zakresie;</w:t>
      </w:r>
    </w:p>
    <w:p w14:paraId="55E4431B" w14:textId="32676A4F" w:rsidR="0022050D" w:rsidRPr="005A5251" w:rsidRDefault="00750E3C">
      <w:pPr>
        <w:pStyle w:val="Bodytext10"/>
        <w:numPr>
          <w:ilvl w:val="0"/>
          <w:numId w:val="2"/>
        </w:numPr>
        <w:tabs>
          <w:tab w:val="left" w:pos="732"/>
        </w:tabs>
        <w:spacing w:line="202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przekazanie skarżącemu, za pośrednictwem sekretariatu EROD, informacji dotyczących skarżącego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>, które mogą być dla niego dostępne zgodnie z mającym zastosowanie prawem amerykańskim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5"/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,w formie przekazanej przez Departament Handlu, w tym tłumaczenia, jeżeli jest to konieczne i w zakresie, w jakim jest to konieczne.</w:t>
      </w:r>
    </w:p>
    <w:p w14:paraId="30EF3A53" w14:textId="77777777" w:rsidR="0022050D" w:rsidRPr="005A5251" w:rsidRDefault="00750E3C">
      <w:pPr>
        <w:pStyle w:val="Heading110"/>
        <w:keepNext/>
        <w:keepLines/>
        <w:numPr>
          <w:ilvl w:val="0"/>
          <w:numId w:val="1"/>
        </w:numPr>
        <w:tabs>
          <w:tab w:val="left" w:pos="720"/>
          <w:tab w:val="left" w:pos="732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1" w:name="bookmark2"/>
      <w:bookmarkStart w:id="2" w:name="_Hlk172190872"/>
      <w:r w:rsidRPr="005A5251">
        <w:rPr>
          <w:rStyle w:val="Heading11"/>
          <w:rFonts w:asciiTheme="minorHAnsi" w:hAnsiTheme="minorHAnsi" w:cstheme="minorHAnsi"/>
          <w:b/>
          <w:color w:val="000000" w:themeColor="text1"/>
        </w:rPr>
        <w:t>Zadania sekretariatu EROD</w:t>
      </w:r>
      <w:bookmarkEnd w:id="1"/>
    </w:p>
    <w:p w14:paraId="649D61FC" w14:textId="77777777" w:rsidR="0022050D" w:rsidRPr="005A5251" w:rsidRDefault="00750E3C">
      <w:pPr>
        <w:pStyle w:val="Bodytext10"/>
        <w:spacing w:after="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 ramach obowiązku przekazywania skarg w imieniu organów nadzorczych do zadań sekretariatu EROD należy:</w:t>
      </w:r>
    </w:p>
    <w:p w14:paraId="04C4E69A" w14:textId="77777777" w:rsidR="0022050D" w:rsidRPr="005A5251" w:rsidRDefault="00750E3C">
      <w:pPr>
        <w:pStyle w:val="Bodytext10"/>
        <w:numPr>
          <w:ilvl w:val="0"/>
          <w:numId w:val="3"/>
        </w:numPr>
        <w:tabs>
          <w:tab w:val="left" w:pos="732"/>
        </w:tabs>
        <w:spacing w:line="175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sprawdzenie, czy otrzymana skarga została złożona do właściwego organu nadzorczego w EOG i przekazana przez ten organ.</w:t>
      </w:r>
    </w:p>
    <w:p w14:paraId="10CF648F" w14:textId="569D343B" w:rsidR="0022050D" w:rsidRPr="005A5251" w:rsidRDefault="00750E3C">
      <w:pPr>
        <w:pStyle w:val="Bodytext10"/>
        <w:numPr>
          <w:ilvl w:val="0"/>
          <w:numId w:val="3"/>
        </w:numPr>
        <w:tabs>
          <w:tab w:val="left" w:pos="732"/>
        </w:tabs>
        <w:spacing w:after="280" w:line="204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sprawdzenie, czy skarga opierała się na </w:t>
      </w:r>
      <w:bookmarkStart w:id="3" w:name="_Hlk172186838"/>
      <w:r w:rsidRPr="005A5251">
        <w:rPr>
          <w:rStyle w:val="Bodytext1"/>
          <w:rFonts w:asciiTheme="minorHAnsi" w:hAnsiTheme="minorHAnsi" w:cstheme="minorHAnsi"/>
          <w:color w:val="000000" w:themeColor="text1"/>
        </w:rPr>
        <w:t>wspólnym formularzu skargi UE</w:t>
      </w:r>
      <w:bookmarkEnd w:id="3"/>
      <w:r w:rsidRPr="005A5251">
        <w:rPr>
          <w:rStyle w:val="Bodytext1"/>
          <w:rFonts w:asciiTheme="minorHAnsi" w:hAnsiTheme="minorHAnsi" w:cstheme="minorHAnsi"/>
          <w:color w:val="000000" w:themeColor="text1"/>
        </w:rPr>
        <w:t>. W celu zapewnienia spójności sekretariat EROD może wysyłać przypomnienia lub pytania wyjaśniające do organów nadzorczych w kwestiach proceduralnych (w razie potrzeby przy wsparciu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koordynatorów BTLE ESG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6"/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) w celu przekazywania skarg między organami nadzorczymi a </w:t>
      </w:r>
      <w:r w:rsidR="00350747" w:rsidRPr="005A5251">
        <w:rPr>
          <w:rFonts w:asciiTheme="minorHAnsi" w:hAnsiTheme="minorHAnsi" w:cstheme="minorHAnsi"/>
          <w:color w:val="000000" w:themeColor="text1"/>
        </w:rPr>
        <w:t>urzędnika ds. ochrony wolności obywatelskich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Urzędu Dyrektora Krajowych Służb Wywiadowczych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(„ODNI CLPO”)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.</w:t>
      </w:r>
    </w:p>
    <w:p w14:paraId="7F5187C7" w14:textId="48632C7A" w:rsidR="0022050D" w:rsidRPr="005A5251" w:rsidRDefault="00750E3C">
      <w:pPr>
        <w:pStyle w:val="Bodytext10"/>
        <w:numPr>
          <w:ilvl w:val="0"/>
          <w:numId w:val="3"/>
        </w:numPr>
        <w:tabs>
          <w:tab w:val="left" w:pos="711"/>
        </w:tabs>
        <w:spacing w:after="280" w:line="137" w:lineRule="auto"/>
        <w:ind w:firstLine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przekazanie skargi do 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>ODNI CLPO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w formie zaszyfrowanej;</w:t>
      </w:r>
    </w:p>
    <w:p w14:paraId="75D2E895" w14:textId="6E209A0E" w:rsidR="0022050D" w:rsidRPr="005A5251" w:rsidRDefault="00750E3C">
      <w:pPr>
        <w:pStyle w:val="Bodytext10"/>
        <w:numPr>
          <w:ilvl w:val="0"/>
          <w:numId w:val="3"/>
        </w:numPr>
        <w:tabs>
          <w:tab w:val="left" w:pos="711"/>
          <w:tab w:val="left" w:pos="730"/>
        </w:tabs>
        <w:spacing w:after="280" w:line="137" w:lineRule="auto"/>
        <w:ind w:firstLine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przekazanie odpowiedzi 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>ODNI CLPO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organowi nadzorczemu w formie zaszyfrowanej</w:t>
      </w:r>
    </w:p>
    <w:p w14:paraId="0364505B" w14:textId="2F8C0B6E" w:rsidR="0022050D" w:rsidRPr="005A5251" w:rsidRDefault="00750E3C" w:rsidP="00D211AB">
      <w:pPr>
        <w:pStyle w:val="Bodytext10"/>
        <w:numPr>
          <w:ilvl w:val="0"/>
          <w:numId w:val="3"/>
        </w:numPr>
        <w:tabs>
          <w:tab w:val="left" w:pos="711"/>
          <w:tab w:val="left" w:pos="730"/>
        </w:tabs>
        <w:spacing w:after="0"/>
        <w:ind w:firstLine="7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przekazanie 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>ODNI CLPO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daty powiadomienia </w:t>
      </w:r>
      <w:r w:rsidR="00350747" w:rsidRPr="005A5251">
        <w:rPr>
          <w:rStyle w:val="Bodytext1"/>
          <w:rFonts w:asciiTheme="minorHAnsi" w:hAnsiTheme="minorHAnsi" w:cstheme="minorHAnsi"/>
          <w:color w:val="000000" w:themeColor="text1"/>
        </w:rPr>
        <w:t>przez organ nadzorczy o odpowiedzi ODNI CLPO do skarżącego</w:t>
      </w:r>
    </w:p>
    <w:bookmarkEnd w:id="2"/>
    <w:p w14:paraId="3A6B6EDA" w14:textId="766C0E2E" w:rsidR="0022050D" w:rsidRPr="005A5251" w:rsidRDefault="00750E3C">
      <w:pPr>
        <w:pStyle w:val="Bodytext10"/>
        <w:numPr>
          <w:ilvl w:val="0"/>
          <w:numId w:val="3"/>
        </w:numPr>
        <w:tabs>
          <w:tab w:val="left" w:pos="732"/>
        </w:tabs>
        <w:spacing w:line="202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przekazywanie wszelkich </w:t>
      </w:r>
      <w:proofErr w:type="spellStart"/>
      <w:r w:rsidRPr="005A5251">
        <w:rPr>
          <w:rStyle w:val="Bodytext1"/>
          <w:rFonts w:asciiTheme="minorHAnsi" w:hAnsiTheme="minorHAnsi" w:cstheme="minorHAnsi"/>
          <w:color w:val="000000" w:themeColor="text1"/>
        </w:rPr>
        <w:t>odwołań</w:t>
      </w:r>
      <w:proofErr w:type="spellEnd"/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otrzymanych od organu nadzorczego do Biura Ochrony Prywatności i Wolności Obywatelskich Departamentu Sprawiedliwości Stanów Zjednoczonych („OPCL”), które zapewnia wsparcie dla DPRC, oraz przekazywanie odpowiedzi (</w:t>
      </w:r>
      <w:r w:rsidR="00DB4C53" w:rsidRPr="005A5251">
        <w:rPr>
          <w:rStyle w:val="Bodytext1"/>
          <w:rFonts w:asciiTheme="minorHAnsi" w:hAnsiTheme="minorHAnsi" w:cstheme="minorHAnsi"/>
          <w:color w:val="000000" w:themeColor="text1"/>
        </w:rPr>
        <w:t>ustandary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zowanej odpowiedzi) otrzymanej od OPCL organom nadzorczym, w tym oświadczenia DPRC o zakończeniu przeglądu, w formie zaszyfrowan</w:t>
      </w:r>
      <w:r w:rsidR="00DD0640" w:rsidRPr="005A5251">
        <w:rPr>
          <w:rStyle w:val="Bodytext1"/>
          <w:rFonts w:asciiTheme="minorHAnsi" w:hAnsiTheme="minorHAnsi" w:cstheme="minorHAnsi"/>
          <w:color w:val="000000" w:themeColor="text1"/>
        </w:rPr>
        <w:t>ej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;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7"/>
      </w:r>
    </w:p>
    <w:p w14:paraId="46887916" w14:textId="6215AE23" w:rsidR="0022050D" w:rsidRPr="005A5251" w:rsidRDefault="00750E3C">
      <w:pPr>
        <w:pStyle w:val="Bodytext10"/>
        <w:numPr>
          <w:ilvl w:val="0"/>
          <w:numId w:val="3"/>
        </w:numPr>
        <w:tabs>
          <w:tab w:val="left" w:pos="732"/>
        </w:tabs>
        <w:spacing w:after="240" w:line="209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przekazanie organowi nadzorczemu informacji przekazanych przez Departament Handlu Stanów Zjednoczonych („</w:t>
      </w:r>
      <w:proofErr w:type="spellStart"/>
      <w:r w:rsidRPr="005A5251">
        <w:rPr>
          <w:rStyle w:val="Bodytext1"/>
          <w:rFonts w:asciiTheme="minorHAnsi" w:hAnsiTheme="minorHAnsi" w:cstheme="minorHAnsi"/>
          <w:color w:val="000000" w:themeColor="text1"/>
        </w:rPr>
        <w:t>DoC</w:t>
      </w:r>
      <w:proofErr w:type="spellEnd"/>
      <w:r w:rsidRPr="005A5251">
        <w:rPr>
          <w:rStyle w:val="Bodytext1"/>
          <w:rFonts w:asciiTheme="minorHAnsi" w:hAnsiTheme="minorHAnsi" w:cstheme="minorHAnsi"/>
          <w:color w:val="000000" w:themeColor="text1"/>
        </w:rPr>
        <w:t>”) na temat zniesienia klauzuli tajności skargi,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footnoteReference w:id="8"/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w szczególności </w:t>
      </w:r>
      <w:r w:rsidR="00DD0640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że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informacj</w:t>
      </w:r>
      <w:r w:rsidR="00DD0640" w:rsidRPr="005A5251">
        <w:rPr>
          <w:rStyle w:val="Bodytext1"/>
          <w:rFonts w:asciiTheme="minorHAnsi" w:hAnsiTheme="minorHAnsi" w:cstheme="minorHAnsi"/>
          <w:color w:val="000000" w:themeColor="text1"/>
        </w:rPr>
        <w:t>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dotycząc</w:t>
      </w:r>
      <w:r w:rsidR="00DD0640" w:rsidRPr="005A5251">
        <w:rPr>
          <w:rStyle w:val="Bodytext1"/>
          <w:rFonts w:asciiTheme="minorHAnsi" w:hAnsiTheme="minorHAnsi" w:cstheme="minorHAnsi"/>
          <w:color w:val="000000" w:themeColor="text1"/>
        </w:rPr>
        <w:t>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skarżącego mogą być dla niego dostępne na mocy mającego zastosowanie prawa Stanów Zjednoczonych,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9"/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w formie zaszyfrowanej, aby służyć jako pojedynczy punkt kontaktowy do celów komunikacji z wyżej wymienionymi organami Stanów Zjednoczonych.</w:t>
      </w:r>
    </w:p>
    <w:p w14:paraId="7C9A1D4D" w14:textId="77777777" w:rsidR="0022050D" w:rsidRPr="005A5251" w:rsidRDefault="00750E3C">
      <w:pPr>
        <w:pStyle w:val="Bodytext10"/>
        <w:numPr>
          <w:ilvl w:val="0"/>
          <w:numId w:val="3"/>
        </w:numPr>
        <w:tabs>
          <w:tab w:val="left" w:pos="732"/>
        </w:tabs>
        <w:spacing w:line="175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zwrócenie uwagi wszystkich członków EROD na wszelkie kwestie leżące w interesie ogólnym, które wynikłyby z tego procesu, związane ze wszystkimi wyżej wymienionymi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lastRenderedPageBreak/>
        <w:t>zadaniami.</w:t>
      </w:r>
    </w:p>
    <w:p w14:paraId="3F630AC9" w14:textId="77777777" w:rsidR="0022050D" w:rsidRPr="005A5251" w:rsidRDefault="00750E3C">
      <w:pPr>
        <w:pStyle w:val="Heading110"/>
        <w:keepNext/>
        <w:keepLines/>
        <w:numPr>
          <w:ilvl w:val="0"/>
          <w:numId w:val="1"/>
        </w:numPr>
        <w:tabs>
          <w:tab w:val="left" w:pos="732"/>
          <w:tab w:val="left" w:pos="782"/>
        </w:tabs>
        <w:jc w:val="both"/>
        <w:rPr>
          <w:rFonts w:asciiTheme="minorHAnsi" w:hAnsiTheme="minorHAnsi" w:cstheme="minorHAnsi"/>
          <w:color w:val="000000" w:themeColor="text1"/>
        </w:rPr>
      </w:pPr>
      <w:bookmarkStart w:id="4" w:name="bookmark4"/>
      <w:r w:rsidRPr="005A5251">
        <w:rPr>
          <w:rStyle w:val="Heading11"/>
          <w:rFonts w:asciiTheme="minorHAnsi" w:hAnsiTheme="minorHAnsi" w:cstheme="minorHAnsi"/>
          <w:b/>
          <w:color w:val="000000" w:themeColor="text1"/>
        </w:rPr>
        <w:t>Odpowiedzialność organów nadzorczych za weryfikację kompletności skargi</w:t>
      </w:r>
      <w:bookmarkEnd w:id="4"/>
    </w:p>
    <w:p w14:paraId="55A18594" w14:textId="77777777" w:rsidR="0022050D" w:rsidRPr="005A5251" w:rsidRDefault="00750E3C">
      <w:pPr>
        <w:pStyle w:val="Bodytext1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Organ nadzorczy, który otrzymał skargę, jest odpowiedzialny za jej weryfikację, a mianowicie za weryfikację tożsamości skarżącego, z zastrzeżeniem uznania organu nadzorczego co do warunków takiej weryfikacji, oraz za sprawdzenie, czy skarga spełnia warunki określone w sekcji 4 lit. k) </w:t>
      </w:r>
      <w:proofErr w:type="spellStart"/>
      <w:r w:rsidRPr="005A5251">
        <w:rPr>
          <w:rStyle w:val="Bodytext1"/>
          <w:rFonts w:asciiTheme="minorHAnsi" w:hAnsiTheme="minorHAnsi" w:cstheme="minorHAnsi"/>
          <w:color w:val="000000" w:themeColor="text1"/>
        </w:rPr>
        <w:t>ppkt</w:t>
      </w:r>
      <w:proofErr w:type="spellEnd"/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(i)–(iv) rozporządzenia wykonawczego 14086.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10"/>
      </w:r>
    </w:p>
    <w:p w14:paraId="308E6053" w14:textId="77777777" w:rsidR="0022050D" w:rsidRPr="005A5251" w:rsidRDefault="00750E3C">
      <w:pPr>
        <w:pStyle w:val="Bodytext1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Obejmuje to:</w:t>
      </w:r>
    </w:p>
    <w:p w14:paraId="611216A8" w14:textId="216E17D0" w:rsidR="0022050D" w:rsidRPr="005A5251" w:rsidRDefault="00750E3C">
      <w:pPr>
        <w:pStyle w:val="Bodytext10"/>
        <w:numPr>
          <w:ilvl w:val="0"/>
          <w:numId w:val="4"/>
        </w:numPr>
        <w:tabs>
          <w:tab w:val="left" w:pos="688"/>
        </w:tabs>
        <w:spacing w:after="200" w:line="192" w:lineRule="auto"/>
        <w:ind w:left="680" w:hanging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weryfik</w:t>
      </w:r>
      <w:r w:rsidR="00503489" w:rsidRPr="005A5251">
        <w:rPr>
          <w:rStyle w:val="Bodytext1"/>
          <w:rFonts w:asciiTheme="minorHAnsi" w:hAnsiTheme="minorHAnsi" w:cstheme="minorHAnsi"/>
          <w:color w:val="000000" w:themeColor="text1"/>
        </w:rPr>
        <w:t>ację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tożsamoś</w:t>
      </w:r>
      <w:r w:rsidR="00503489" w:rsidRPr="005A5251">
        <w:rPr>
          <w:rStyle w:val="Bodytext1"/>
          <w:rFonts w:asciiTheme="minorHAnsi" w:hAnsiTheme="minorHAnsi" w:cstheme="minorHAnsi"/>
          <w:color w:val="000000" w:themeColor="text1"/>
        </w:rPr>
        <w:t>ci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skarżącego 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11"/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i </w:t>
      </w:r>
      <w:r w:rsidR="00503489" w:rsidRPr="005A5251">
        <w:rPr>
          <w:rStyle w:val="Bodytext1"/>
          <w:rFonts w:asciiTheme="minorHAnsi" w:hAnsiTheme="minorHAnsi" w:cstheme="minorHAnsi"/>
          <w:color w:val="000000" w:themeColor="text1"/>
        </w:rPr>
        <w:t>sprawdzenie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 że działa on we własnym imieniu, a nie jako przedstawiciel organizacji rządowej, pozarządowej lub międzyrządowej;</w:t>
      </w:r>
    </w:p>
    <w:p w14:paraId="0DFC2851" w14:textId="284329C4" w:rsidR="0022050D" w:rsidRPr="005A5251" w:rsidRDefault="00750E3C">
      <w:pPr>
        <w:pStyle w:val="Bodytext10"/>
        <w:numPr>
          <w:ilvl w:val="0"/>
          <w:numId w:val="4"/>
        </w:numPr>
        <w:tabs>
          <w:tab w:val="left" w:pos="688"/>
        </w:tabs>
        <w:spacing w:after="200" w:line="190" w:lineRule="auto"/>
        <w:ind w:left="680" w:hanging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sprawdz</w:t>
      </w:r>
      <w:r w:rsidR="00503489" w:rsidRPr="005A5251">
        <w:rPr>
          <w:rStyle w:val="Bodytext1"/>
          <w:rFonts w:asciiTheme="minorHAnsi" w:hAnsiTheme="minorHAnsi" w:cstheme="minorHAnsi"/>
          <w:color w:val="000000" w:themeColor="text1"/>
        </w:rPr>
        <w:t>enie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 czy skarga dotyczy danych osobowych skarżącego, osoby fizycznej, co do której można zasadnie przypuszczać, że została przekazana do Stanów Zjednoczonych po dacie wejścia w życie decyzji stwierdzającej odpowiedni stopień ochrony (tj. po 10 lipca 2023 r.);</w:t>
      </w:r>
    </w:p>
    <w:p w14:paraId="1DA35384" w14:textId="1DEEBC81" w:rsidR="0022050D" w:rsidRPr="005A5251" w:rsidRDefault="00503489">
      <w:pPr>
        <w:pStyle w:val="Bodytext10"/>
        <w:numPr>
          <w:ilvl w:val="0"/>
          <w:numId w:val="4"/>
        </w:numPr>
        <w:tabs>
          <w:tab w:val="left" w:pos="688"/>
        </w:tabs>
        <w:spacing w:after="200" w:line="192" w:lineRule="auto"/>
        <w:ind w:left="680" w:hanging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weryfikację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, czy skarżący twierdzi, że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amerykańskie agencje wywiadowcze uzyskały niezgodnie z prawem dostęp do jego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dan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ych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osobow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ych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i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je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wykorzysta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ły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po przekazaniu jego danych osobowych z UE do USA.</w:t>
      </w:r>
    </w:p>
    <w:p w14:paraId="1DC7A940" w14:textId="07733BEB" w:rsidR="0022050D" w:rsidRPr="005A5251" w:rsidRDefault="00750E3C">
      <w:pPr>
        <w:pStyle w:val="Bodytext10"/>
        <w:numPr>
          <w:ilvl w:val="0"/>
          <w:numId w:val="4"/>
        </w:numPr>
        <w:tabs>
          <w:tab w:val="left" w:pos="688"/>
        </w:tabs>
        <w:spacing w:after="260" w:line="175" w:lineRule="auto"/>
        <w:ind w:left="680" w:hanging="38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zapewni</w:t>
      </w:r>
      <w:r w:rsidR="00503489" w:rsidRPr="005A5251">
        <w:rPr>
          <w:rStyle w:val="Bodytext1"/>
          <w:rFonts w:asciiTheme="minorHAnsi" w:hAnsiTheme="minorHAnsi" w:cstheme="minorHAnsi"/>
          <w:color w:val="000000" w:themeColor="text1"/>
        </w:rPr>
        <w:t>enie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, aby skarga została złożona na piśmie (w tym za pośrednictwem poczty elektronicznej) i zawierała następujące informacje:</w:t>
      </w:r>
    </w:p>
    <w:p w14:paraId="0FB4BBDE" w14:textId="1490017C" w:rsidR="0022050D" w:rsidRPr="005A5251" w:rsidRDefault="00503489">
      <w:pPr>
        <w:pStyle w:val="Bodytext10"/>
        <w:spacing w:after="0"/>
        <w:ind w:left="110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>-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 wszelkie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informacje stanowiące podstawę skargi, w tym szczegóły dotyczące konta internetowego lub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przekazania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danych osobowych, co do których istnieje podejrzenie, że uzyskano do nich dostęp/wystąpiły (które nie muszą wykazywać, że dane skarżącego były w rzeczywistości przedmiotem działań w zakresie rozpoznania radioelektronicznego prowadzonych przez Stany Zjednoczone);</w:t>
      </w:r>
    </w:p>
    <w:p w14:paraId="2397EF4B" w14:textId="3BDB5BA6" w:rsidR="0022050D" w:rsidRPr="005A5251" w:rsidRDefault="00503489">
      <w:pPr>
        <w:pStyle w:val="Bodytext10"/>
        <w:spacing w:after="0" w:line="223" w:lineRule="auto"/>
        <w:ind w:firstLine="7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- 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charakter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żądanego zadośćuczynienia;</w:t>
      </w:r>
    </w:p>
    <w:p w14:paraId="16C3DA34" w14:textId="6625D51F" w:rsidR="0022050D" w:rsidRPr="005A5251" w:rsidRDefault="00503489">
      <w:pPr>
        <w:pStyle w:val="Bodytext10"/>
        <w:spacing w:after="0" w:line="230" w:lineRule="auto"/>
        <w:ind w:left="110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- 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konkretne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środki, za pomocą których uważa się, że dane osobowe skarżącego lub dotyczące skarżącego zostały przekazane do Stanów Zjednoczonych;</w:t>
      </w:r>
    </w:p>
    <w:p w14:paraId="7296BB14" w14:textId="1AB60385" w:rsidR="0022050D" w:rsidRPr="005A5251" w:rsidRDefault="00503489">
      <w:pPr>
        <w:pStyle w:val="Bodytext10"/>
        <w:spacing w:after="0" w:line="230" w:lineRule="auto"/>
        <w:ind w:left="110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- 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podmiot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lub podmioty rządu Stanów Zjednoczonych, co do których istnieje podejrzenie, że są zaangażowane w uzyskiwanie dostępu do danych osobowych skarżącego lub dotyczących skarżącego (jeżeli są znane);</w:t>
      </w:r>
    </w:p>
    <w:p w14:paraId="1B93E554" w14:textId="26634D10" w:rsidR="0022050D" w:rsidRPr="005A5251" w:rsidRDefault="00503489">
      <w:pPr>
        <w:pStyle w:val="Bodytext10"/>
        <w:spacing w:after="0" w:line="230" w:lineRule="auto"/>
        <w:ind w:left="110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>-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 oraz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wszelkie inne środki, które skarżący mógł zastosować w celu uzyskania żądanych informacji lub </w:t>
      </w:r>
      <w:r w:rsidR="006132E3" w:rsidRPr="005A5251">
        <w:rPr>
          <w:rStyle w:val="Bodytext1"/>
          <w:rFonts w:asciiTheme="minorHAnsi" w:hAnsiTheme="minorHAnsi" w:cstheme="minorHAnsi"/>
          <w:color w:val="000000" w:themeColor="text1"/>
        </w:rPr>
        <w:t>zadośćuczynienia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, a także odpowiedź otrzymaną w ramach tych innych środków;</w:t>
      </w:r>
    </w:p>
    <w:p w14:paraId="13D1931F" w14:textId="7AB5CCBE" w:rsidR="0022050D" w:rsidRPr="005A5251" w:rsidRDefault="00503489">
      <w:pPr>
        <w:pStyle w:val="Bodytext10"/>
        <w:spacing w:after="120" w:line="223" w:lineRule="auto"/>
        <w:ind w:firstLine="7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- </w:t>
      </w:r>
      <w:r w:rsidR="00750E3C" w:rsidRPr="005A5251">
        <w:rPr>
          <w:rStyle w:val="Bodytext1"/>
          <w:rFonts w:asciiTheme="minorHAnsi" w:eastAsia="Courier New" w:hAnsiTheme="minorHAnsi" w:cstheme="minorHAnsi"/>
          <w:color w:val="000000" w:themeColor="text1"/>
        </w:rPr>
        <w:t xml:space="preserve">że </w:t>
      </w:r>
      <w:r w:rsidR="00750E3C" w:rsidRPr="005A5251">
        <w:rPr>
          <w:rStyle w:val="Bodytext1"/>
          <w:rFonts w:asciiTheme="minorHAnsi" w:hAnsiTheme="minorHAnsi" w:cstheme="minorHAnsi"/>
          <w:color w:val="000000" w:themeColor="text1"/>
        </w:rPr>
        <w:t>skarga nie jest niepoważna, dokuczliwa ani złożona w złej wierze.</w:t>
      </w:r>
    </w:p>
    <w:p w14:paraId="6A05CA4D" w14:textId="77777777" w:rsidR="0022050D" w:rsidRPr="005A5251" w:rsidRDefault="00750E3C">
      <w:pPr>
        <w:pStyle w:val="Heading110"/>
        <w:keepNext/>
        <w:keepLines/>
        <w:numPr>
          <w:ilvl w:val="0"/>
          <w:numId w:val="1"/>
        </w:numPr>
        <w:tabs>
          <w:tab w:val="left" w:pos="688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  <w:bookmarkStart w:id="5" w:name="bookmark6"/>
      <w:r w:rsidRPr="005A5251">
        <w:rPr>
          <w:rStyle w:val="Heading11"/>
          <w:rFonts w:asciiTheme="minorHAnsi" w:hAnsiTheme="minorHAnsi" w:cstheme="minorHAnsi"/>
          <w:b/>
          <w:color w:val="000000" w:themeColor="text1"/>
        </w:rPr>
        <w:t>Odpowiedzialność organu nadzorczego za weryfikację dopuszczalności odwołania</w:t>
      </w:r>
      <w:bookmarkEnd w:id="5"/>
    </w:p>
    <w:p w14:paraId="7B2ED518" w14:textId="77777777" w:rsidR="0022050D" w:rsidRPr="005A5251" w:rsidRDefault="00750E3C">
      <w:pPr>
        <w:pStyle w:val="Bodytext10"/>
        <w:numPr>
          <w:ilvl w:val="0"/>
          <w:numId w:val="5"/>
        </w:numPr>
        <w:tabs>
          <w:tab w:val="left" w:pos="688"/>
        </w:tabs>
        <w:spacing w:after="200" w:line="173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Sprawdzenie, czy odwołanie zostało wniesione przez tę samą osobę, która złożyła skargę</w:t>
      </w:r>
    </w:p>
    <w:p w14:paraId="4EB1F3DA" w14:textId="516983F2" w:rsidR="0022050D" w:rsidRPr="005A5251" w:rsidRDefault="00750E3C">
      <w:pPr>
        <w:pStyle w:val="Bodytext10"/>
        <w:numPr>
          <w:ilvl w:val="0"/>
          <w:numId w:val="5"/>
        </w:numPr>
        <w:tabs>
          <w:tab w:val="left" w:pos="688"/>
        </w:tabs>
        <w:spacing w:after="420" w:line="202" w:lineRule="auto"/>
        <w:ind w:left="740" w:hanging="36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Sprawdz</w:t>
      </w:r>
      <w:r w:rsidR="006132E3" w:rsidRPr="005A5251">
        <w:rPr>
          <w:rStyle w:val="Bodytext1"/>
          <w:rFonts w:asciiTheme="minorHAnsi" w:hAnsiTheme="minorHAnsi" w:cstheme="minorHAnsi"/>
          <w:color w:val="000000" w:themeColor="text1"/>
        </w:rPr>
        <w:t>enie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, czy odwołanie zostało wniesione do organu nadzorczego w ciągu 60 dni od dnia, w którym skarżący otrzymał od organu nadzorczego powiadomienie o 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lastRenderedPageBreak/>
        <w:t xml:space="preserve">zakończeniu przeglądu przez </w:t>
      </w:r>
      <w:r w:rsidR="006132E3" w:rsidRPr="005A5251">
        <w:rPr>
          <w:rStyle w:val="Bodytext1"/>
          <w:rFonts w:asciiTheme="minorHAnsi" w:hAnsiTheme="minorHAnsi" w:cstheme="minorHAnsi"/>
          <w:color w:val="000000" w:themeColor="text1"/>
        </w:rPr>
        <w:t>ODNI CLPO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>.</w:t>
      </w:r>
      <w:r w:rsidRPr="005A5251">
        <w:rPr>
          <w:rStyle w:val="Bodytext1"/>
          <w:rFonts w:asciiTheme="minorHAnsi" w:hAnsiTheme="minorHAnsi" w:cstheme="minorHAnsi"/>
          <w:color w:val="000000" w:themeColor="text1"/>
          <w:vertAlign w:val="superscript"/>
        </w:rPr>
        <w:footnoteReference w:id="12"/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W tym celu przy przekazywaniu wniosków o </w:t>
      </w:r>
      <w:r w:rsidR="00056276" w:rsidRPr="005A5251">
        <w:rPr>
          <w:rStyle w:val="Bodytext1"/>
          <w:rFonts w:asciiTheme="minorHAnsi" w:hAnsiTheme="minorHAnsi" w:cstheme="minorHAnsi"/>
          <w:color w:val="000000" w:themeColor="text1"/>
        </w:rPr>
        <w:t>kontrolę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decyzji </w:t>
      </w:r>
      <w:r w:rsidR="00056276" w:rsidRPr="005A5251">
        <w:rPr>
          <w:rStyle w:val="Bodytext1"/>
          <w:rFonts w:asciiTheme="minorHAnsi" w:hAnsiTheme="minorHAnsi" w:cstheme="minorHAnsi"/>
          <w:color w:val="000000" w:themeColor="text1"/>
        </w:rPr>
        <w:t>ODNI CLPO</w:t>
      </w:r>
      <w:r w:rsidRPr="005A5251">
        <w:rPr>
          <w:rStyle w:val="Bodytext1"/>
          <w:rFonts w:asciiTheme="minorHAnsi" w:hAnsiTheme="minorHAnsi" w:cstheme="minorHAnsi"/>
          <w:color w:val="000000" w:themeColor="text1"/>
        </w:rPr>
        <w:t xml:space="preserve"> należy wskazać w przekazywaniu odpowiednie daty.</w:t>
      </w:r>
    </w:p>
    <w:p w14:paraId="1BE4CF09" w14:textId="77777777" w:rsidR="0022050D" w:rsidRPr="005A5251" w:rsidRDefault="00750E3C">
      <w:pPr>
        <w:pStyle w:val="Heading110"/>
        <w:keepNext/>
        <w:keepLines/>
        <w:numPr>
          <w:ilvl w:val="0"/>
          <w:numId w:val="1"/>
        </w:numPr>
        <w:tabs>
          <w:tab w:val="left" w:pos="688"/>
        </w:tabs>
        <w:spacing w:after="200"/>
        <w:jc w:val="both"/>
        <w:rPr>
          <w:rFonts w:asciiTheme="minorHAnsi" w:hAnsiTheme="minorHAnsi" w:cstheme="minorHAnsi"/>
          <w:color w:val="000000" w:themeColor="text1"/>
        </w:rPr>
      </w:pPr>
      <w:bookmarkStart w:id="6" w:name="bookmark8"/>
      <w:r w:rsidRPr="005A5251">
        <w:rPr>
          <w:rStyle w:val="Heading11"/>
          <w:rFonts w:asciiTheme="minorHAnsi" w:hAnsiTheme="minorHAnsi" w:cstheme="minorHAnsi"/>
          <w:b/>
          <w:color w:val="000000" w:themeColor="text1"/>
        </w:rPr>
        <w:t>Współpraca i komunikacja we współpracy z sekretariatem EROD</w:t>
      </w:r>
      <w:bookmarkEnd w:id="6"/>
    </w:p>
    <w:p w14:paraId="33E741C5" w14:textId="77777777" w:rsidR="0022050D" w:rsidRPr="005A5251" w:rsidRDefault="00750E3C">
      <w:pPr>
        <w:pStyle w:val="Bodytext10"/>
        <w:spacing w:after="1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Członkowie EROD zgodzili się skorzystać z unijnego formularza skargi indywidualnej. Członkowie zgodzili się również opublikować go wraz z innymi przydatnymi informacjami na swoich stronach internetowych.</w:t>
      </w:r>
    </w:p>
    <w:p w14:paraId="49D2F091" w14:textId="77777777" w:rsidR="0022050D" w:rsidRPr="005A5251" w:rsidRDefault="00750E3C">
      <w:pPr>
        <w:pStyle w:val="Bodytext10"/>
        <w:spacing w:after="22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Komunikacja między sekretariatem EROD a organami nadzorczymi zostanie ułatwiona za pomocą odpowiednich (bezpiecznych) środków elektronicznych (tj. w formie zaszyfrowanej).</w:t>
      </w:r>
    </w:p>
    <w:p w14:paraId="3C63C7E3" w14:textId="149B2A12" w:rsidR="0022050D" w:rsidRPr="005A5251" w:rsidRDefault="0022050D">
      <w:pPr>
        <w:jc w:val="center"/>
        <w:rPr>
          <w:rFonts w:asciiTheme="minorHAnsi" w:hAnsiTheme="minorHAnsi" w:cstheme="minorHAnsi"/>
          <w:color w:val="000000" w:themeColor="text1"/>
          <w:sz w:val="2"/>
        </w:rPr>
      </w:pPr>
    </w:p>
    <w:p w14:paraId="5AF827CE" w14:textId="77777777" w:rsidR="0022050D" w:rsidRPr="005A5251" w:rsidRDefault="0022050D">
      <w:pPr>
        <w:spacing w:after="139" w:line="1" w:lineRule="exact"/>
        <w:rPr>
          <w:rFonts w:asciiTheme="minorHAnsi" w:hAnsiTheme="minorHAnsi" w:cstheme="minorHAnsi"/>
          <w:color w:val="000000" w:themeColor="text1"/>
        </w:rPr>
      </w:pPr>
    </w:p>
    <w:p w14:paraId="7D1BE997" w14:textId="77777777" w:rsidR="0022050D" w:rsidRPr="005A5251" w:rsidRDefault="00750E3C">
      <w:pPr>
        <w:pStyle w:val="Bodytext10"/>
        <w:spacing w:after="1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Wszystkie organy nadzorcze wykorzystają ten adres e-mail do komunikacji z sekretariatem EROD (tj. do przekazywania skarg, a także odpowiednich pytań dotyczących tego mechanizmu dochodzenia roszczeń).</w:t>
      </w:r>
    </w:p>
    <w:p w14:paraId="32DD4B4E" w14:textId="77777777" w:rsidR="0022050D" w:rsidRPr="005A5251" w:rsidRDefault="00750E3C">
      <w:pPr>
        <w:pStyle w:val="Bodytext10"/>
        <w:spacing w:after="140"/>
        <w:jc w:val="both"/>
        <w:rPr>
          <w:rFonts w:asciiTheme="minorHAnsi" w:hAnsiTheme="minorHAnsi" w:cstheme="minorHAnsi"/>
          <w:color w:val="000000" w:themeColor="text1"/>
        </w:rPr>
      </w:pPr>
      <w:r w:rsidRPr="005A5251">
        <w:rPr>
          <w:rStyle w:val="Bodytext1"/>
          <w:rFonts w:asciiTheme="minorHAnsi" w:hAnsiTheme="minorHAnsi" w:cstheme="minorHAnsi"/>
          <w:color w:val="000000" w:themeColor="text1"/>
        </w:rPr>
        <w:t>W wyjątkowych przypadkach może dojść do sporu między organem nadzorczym a sekretariatem EROD co do tego, czy skargę można uznać za kompletną, w którym to przypadku sekretariat EROD i ten organ nadzorczy będą współpracować w celu osiągnięcia konsensusu.</w:t>
      </w:r>
    </w:p>
    <w:sectPr w:rsidR="0022050D" w:rsidRPr="005A5251">
      <w:footerReference w:type="default" r:id="rId7"/>
      <w:pgSz w:w="11900" w:h="16840"/>
      <w:pgMar w:top="1354" w:right="1393" w:bottom="1207" w:left="1401" w:header="926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C62B" w14:textId="77777777" w:rsidR="000802D8" w:rsidRDefault="000802D8">
      <w:r>
        <w:separator/>
      </w:r>
    </w:p>
  </w:endnote>
  <w:endnote w:type="continuationSeparator" w:id="0">
    <w:p w14:paraId="5F92EEF6" w14:textId="77777777" w:rsidR="000802D8" w:rsidRDefault="0008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3F33" w14:textId="77777777" w:rsidR="0022050D" w:rsidRDefault="00750E3C">
    <w:pPr>
      <w:spacing w:line="1" w:lineRule="exact"/>
    </w:pPr>
    <w:r>
      <w:rPr>
        <w:noProof/>
        <w:lang w:val="pl-PL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7B233A9" wp14:editId="1A74B3A3">
              <wp:simplePos x="0" y="0"/>
              <wp:positionH relativeFrom="page">
                <wp:posOffset>920115</wp:posOffset>
              </wp:positionH>
              <wp:positionV relativeFrom="page">
                <wp:posOffset>10113645</wp:posOffset>
              </wp:positionV>
              <wp:extent cx="5721350" cy="118745"/>
              <wp:effectExtent l="0" t="0" r="0" b="0"/>
              <wp:wrapNone/>
              <wp:docPr id="9" name="Kształ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FFDBE2" w14:textId="77777777" w:rsidR="0022050D" w:rsidRDefault="00750E3C">
                          <w:pPr>
                            <w:pStyle w:val="Headerorfooter20"/>
                            <w:tabs>
                              <w:tab w:val="right" w:pos="9010"/>
                            </w:tabs>
                            <w:rPr>
                              <w:sz w:val="22"/>
                            </w:rPr>
                          </w:pP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</w:rPr>
                            <w:t>przyjęte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50E3C">
                            <w:rPr>
                              <w:rStyle w:val="Headerorfooter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233A9" id="_x0000_t202" coordsize="21600,21600" o:spt="202" path="m,l,21600r21600,l21600,xe">
              <v:stroke joinstyle="miter"/>
              <v:path gradientshapeok="t" o:connecttype="rect"/>
            </v:shapetype>
            <v:shape id="Kształt 9" o:spid="_x0000_s1027" type="#_x0000_t202" style="position:absolute;margin-left:72.45pt;margin-top:796.35pt;width:450.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" filled="f" stroked="f">
              <v:textbox style="mso-fit-shape-to-text:t" inset="0,0,0,0">
                <w:txbxContent>
                  <w:p w14:paraId="39FFDBE2" w14:textId="77777777" w:rsidR="0022050D" w:rsidRDefault="00750E3C">
                    <w:pPr>
                      <w:pStyle w:val="Headerorfooter20"/>
                      <w:tabs>
                        <w:tab w:val="right" w:pos="9010"/>
                      </w:tabs>
                      <w:rPr>
                        <w:sz w:val="22"/>
                      </w:rPr>
                    </w:pP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</w:rPr>
                      <w:t>przyjęte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50E3C">
                      <w:rPr>
                        <w:rStyle w:val="Headerorfooter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Headerorfooter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3B9CF" w14:textId="77777777" w:rsidR="000802D8" w:rsidRDefault="000802D8">
      <w:r>
        <w:separator/>
      </w:r>
    </w:p>
  </w:footnote>
  <w:footnote w:type="continuationSeparator" w:id="0">
    <w:p w14:paraId="4F0685F8" w14:textId="77777777" w:rsidR="000802D8" w:rsidRDefault="000802D8">
      <w:r>
        <w:continuationSeparator/>
      </w:r>
    </w:p>
  </w:footnote>
  <w:footnote w:id="1">
    <w:p w14:paraId="0A1C3482" w14:textId="4ECF2D61" w:rsidR="0022050D" w:rsidRPr="00BE1410" w:rsidRDefault="00750E3C" w:rsidP="00555312">
      <w:pPr>
        <w:pStyle w:val="Footnote10"/>
        <w:jc w:val="both"/>
        <w:rPr>
          <w:rFonts w:asciiTheme="minorHAnsi" w:hAnsiTheme="minorHAnsi" w:cstheme="minorHAnsi"/>
        </w:rPr>
      </w:pPr>
      <w:r>
        <w:rPr>
          <w:rStyle w:val="Footnote1"/>
        </w:rPr>
        <w:footnoteRef/>
      </w:r>
      <w:r w:rsidR="00685A42">
        <w:rPr>
          <w:rStyle w:val="Footnote1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 xml:space="preserve">Do celów niniejszego dokumentu wszelkie odniesienia do urzędnika ds. ochrony wolności obywatelskich („CLPO”) oznaczają </w:t>
      </w:r>
      <w:r w:rsidR="00555312" w:rsidRPr="00BE1410">
        <w:rPr>
          <w:rFonts w:asciiTheme="minorHAnsi" w:hAnsiTheme="minorHAnsi" w:cstheme="minorHAnsi"/>
        </w:rPr>
        <w:t>urzędnika ds. ochrony wolności obywatelskich Urzędu Dyrektora Krajowych Służb Wywiadowczych</w:t>
      </w:r>
      <w:r w:rsidR="004523D0" w:rsidRPr="00BE1410">
        <w:rPr>
          <w:rFonts w:asciiTheme="minorHAnsi" w:hAnsiTheme="minorHAnsi" w:cstheme="minorHAnsi"/>
        </w:rPr>
        <w:t>;</w:t>
      </w:r>
      <w:r w:rsidR="004523D0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„ODNI CLPO”).</w:t>
      </w:r>
    </w:p>
  </w:footnote>
  <w:footnote w:id="2">
    <w:p w14:paraId="77170CDB" w14:textId="7D0CD194" w:rsidR="0022050D" w:rsidRPr="00BE1410" w:rsidRDefault="00750E3C">
      <w:pPr>
        <w:pStyle w:val="Footnote10"/>
        <w:jc w:val="both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685A42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Do celów niniejszego dokumentu wszelkie odniesienia do organów nadzorczych oznaczają organy ochrony danych zgodnie z art. 4 pkt 21 RODO.</w:t>
      </w:r>
    </w:p>
  </w:footnote>
  <w:footnote w:id="3">
    <w:p w14:paraId="4A551F26" w14:textId="007CF9CD" w:rsidR="0022050D" w:rsidRPr="00BE1410" w:rsidRDefault="00750E3C">
      <w:pPr>
        <w:pStyle w:val="Footnote10"/>
        <w:jc w:val="both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Pr="00BE1410">
        <w:rPr>
          <w:rStyle w:val="Footnote1"/>
          <w:rFonts w:asciiTheme="minorHAnsi" w:hAnsiTheme="minorHAnsi" w:cstheme="minorHAnsi"/>
        </w:rPr>
        <w:t xml:space="preserve"> Rozporządzenie wykonawcze 14086, sekcja 4 lit. k) ppkt (v) stanowi, że: »Kwalifikująca się skarga« oznacza skargę złożoną na piśmie, która (...) jest przekazywana przez właściwy organ publiczny w kwalifikującym się państwie </w:t>
      </w:r>
      <w:r w:rsidRPr="00BE1410">
        <w:rPr>
          <w:rStyle w:val="Footnote1"/>
          <w:rFonts w:asciiTheme="minorHAnsi" w:hAnsiTheme="minorHAnsi" w:cstheme="minorHAnsi"/>
          <w:b/>
        </w:rPr>
        <w:t xml:space="preserve">po sprawdzeniu tożsamości skarżącego </w:t>
      </w:r>
      <w:r w:rsidRPr="00BE1410">
        <w:rPr>
          <w:rStyle w:val="Footnote1"/>
          <w:rFonts w:asciiTheme="minorHAnsi" w:hAnsiTheme="minorHAnsi" w:cstheme="minorHAnsi"/>
        </w:rPr>
        <w:t xml:space="preserve">oraz że skarga spełnia warunki określone w sekcji 5 lit. k) ppkt (i)–(iv) niniejszego </w:t>
      </w:r>
      <w:r w:rsidR="00EA50CF" w:rsidRPr="00BE1410">
        <w:rPr>
          <w:rStyle w:val="Footnote1"/>
          <w:rFonts w:asciiTheme="minorHAnsi" w:hAnsiTheme="minorHAnsi" w:cstheme="minorHAnsi"/>
        </w:rPr>
        <w:t>rozpo</w:t>
      </w:r>
      <w:r w:rsidRPr="00BE1410">
        <w:rPr>
          <w:rStyle w:val="Footnote1"/>
          <w:rFonts w:asciiTheme="minorHAnsi" w:hAnsiTheme="minorHAnsi" w:cstheme="minorHAnsi"/>
        </w:rPr>
        <w:t xml:space="preserve">rządzenia.”; Również </w:t>
      </w:r>
      <w:hyperlink r:id="rId1" w:history="1">
        <w:r w:rsidR="00E3585D" w:rsidRPr="00BE1410">
          <w:rPr>
            <w:rStyle w:val="Footnote1"/>
            <w:rFonts w:asciiTheme="minorHAnsi" w:hAnsiTheme="minorHAnsi" w:cstheme="minorHAnsi"/>
            <w:b/>
            <w:color w:val="0563C1"/>
            <w:u w:val="single"/>
          </w:rPr>
          <w:t>dyrektywa Wspólnoty W</w:t>
        </w:r>
        <w:r w:rsidRPr="00BE1410">
          <w:rPr>
            <w:rStyle w:val="Footnote1"/>
            <w:rFonts w:asciiTheme="minorHAnsi" w:hAnsiTheme="minorHAnsi" w:cstheme="minorHAnsi"/>
            <w:b/>
            <w:color w:val="0563C1"/>
            <w:u w:val="single"/>
          </w:rPr>
          <w:t>ywiadowczej</w:t>
        </w:r>
        <w:r w:rsidR="00EA50CF" w:rsidRPr="00BE1410">
          <w:rPr>
            <w:rStyle w:val="Footnote1"/>
            <w:rFonts w:asciiTheme="minorHAnsi" w:hAnsiTheme="minorHAnsi" w:cstheme="minorHAnsi"/>
            <w:b/>
            <w:color w:val="0563C1"/>
            <w:u w:val="single"/>
          </w:rPr>
          <w:t xml:space="preserve"> (ICD)</w:t>
        </w:r>
        <w:r w:rsidRPr="00BE1410">
          <w:rPr>
            <w:rStyle w:val="Footnote1"/>
            <w:rFonts w:asciiTheme="minorHAnsi" w:hAnsiTheme="minorHAnsi" w:cstheme="minorHAnsi"/>
            <w:b/>
            <w:color w:val="0563C1"/>
            <w:u w:val="single"/>
          </w:rPr>
          <w:t xml:space="preserve"> 126,</w:t>
        </w:r>
      </w:hyperlink>
      <w:r w:rsidRPr="00BE1410">
        <w:rPr>
          <w:rStyle w:val="Footnote1"/>
          <w:rFonts w:asciiTheme="minorHAnsi" w:hAnsiTheme="minorHAnsi" w:cstheme="minorHAnsi"/>
          <w:b/>
        </w:rPr>
        <w:t xml:space="preserve"> sekcja E ust. 1 lit. c) pkt 8:</w:t>
      </w:r>
      <w:r w:rsidRPr="00BE1410">
        <w:rPr>
          <w:rStyle w:val="Footnote1"/>
          <w:rFonts w:asciiTheme="minorHAnsi" w:hAnsiTheme="minorHAnsi" w:cstheme="minorHAnsi"/>
        </w:rPr>
        <w:t xml:space="preserve"> „W szczególności, aby przekazana skarga była »kwalifikującą się skargą« zgodną z definicją »objętego naruszenia« i »kwalifikującej skargi« zawartą w rozporządzeniu wykonawczym 14086, skarga musi: (..) </w:t>
      </w:r>
      <w:r w:rsidRPr="00BE1410">
        <w:rPr>
          <w:rStyle w:val="Footnote1"/>
          <w:rFonts w:asciiTheme="minorHAnsi" w:hAnsiTheme="minorHAnsi" w:cstheme="minorHAnsi"/>
          <w:b/>
        </w:rPr>
        <w:t>zawiera</w:t>
      </w:r>
      <w:r w:rsidR="005C0EA7" w:rsidRPr="00BE1410">
        <w:rPr>
          <w:rStyle w:val="Footnote1"/>
          <w:rFonts w:asciiTheme="minorHAnsi" w:hAnsiTheme="minorHAnsi" w:cstheme="minorHAnsi"/>
          <w:b/>
        </w:rPr>
        <w:t>ć</w:t>
      </w:r>
      <w:r w:rsidRPr="00BE1410">
        <w:rPr>
          <w:rStyle w:val="Footnote1"/>
          <w:rFonts w:asciiTheme="minorHAnsi" w:hAnsiTheme="minorHAnsi" w:cstheme="minorHAnsi"/>
          <w:b/>
        </w:rPr>
        <w:t xml:space="preserve"> weryfikację przeprowadzoną </w:t>
      </w:r>
      <w:r w:rsidRPr="00BE1410">
        <w:rPr>
          <w:rStyle w:val="Footnote1"/>
          <w:rFonts w:asciiTheme="minorHAnsi" w:hAnsiTheme="minorHAnsi" w:cstheme="minorHAnsi"/>
        </w:rPr>
        <w:t>przez właściwy organ publiczny w kwalifikującym się państwie: a) tożsamości skarżącego oraz b) czy skarga spełnia warunki określone w sekcji E</w:t>
      </w:r>
      <w:r w:rsidR="00E3585D" w:rsidRPr="00BE1410">
        <w:rPr>
          <w:rStyle w:val="Footnote1"/>
          <w:rFonts w:asciiTheme="minorHAnsi" w:hAnsiTheme="minorHAnsi" w:cstheme="minorHAnsi"/>
        </w:rPr>
        <w:t xml:space="preserve"> ust.</w:t>
      </w:r>
      <w:r w:rsidRPr="00BE1410">
        <w:rPr>
          <w:rStyle w:val="Footnote1"/>
          <w:rFonts w:asciiTheme="minorHAnsi" w:hAnsiTheme="minorHAnsi" w:cstheme="minorHAnsi"/>
        </w:rPr>
        <w:t>1</w:t>
      </w:r>
      <w:r w:rsidR="00E3585D" w:rsidRPr="00BE1410">
        <w:rPr>
          <w:rStyle w:val="Footnote1"/>
          <w:rFonts w:asciiTheme="minorHAnsi" w:hAnsiTheme="minorHAnsi" w:cstheme="minorHAnsi"/>
        </w:rPr>
        <w:t xml:space="preserve"> lit. </w:t>
      </w:r>
      <w:r w:rsidRPr="00BE1410">
        <w:rPr>
          <w:rStyle w:val="Footnote1"/>
          <w:rFonts w:asciiTheme="minorHAnsi" w:hAnsiTheme="minorHAnsi" w:cstheme="minorHAnsi"/>
        </w:rPr>
        <w:t xml:space="preserve">c. </w:t>
      </w:r>
      <w:r w:rsidR="00E3585D" w:rsidRPr="00BE1410">
        <w:rPr>
          <w:rStyle w:val="Footnote1"/>
          <w:rFonts w:asciiTheme="minorHAnsi" w:hAnsiTheme="minorHAnsi" w:cstheme="minorHAnsi"/>
        </w:rPr>
        <w:t>pkt</w:t>
      </w:r>
      <w:r w:rsidRPr="00BE1410">
        <w:rPr>
          <w:rStyle w:val="Footnote1"/>
          <w:rFonts w:asciiTheme="minorHAnsi" w:hAnsiTheme="minorHAnsi" w:cstheme="minorHAnsi"/>
        </w:rPr>
        <w:t xml:space="preserve"> l)-7</w:t>
      </w:r>
      <w:r w:rsidR="005C0EA7" w:rsidRPr="00BE1410">
        <w:rPr>
          <w:rStyle w:val="Footnote1"/>
          <w:rFonts w:asciiTheme="minorHAnsi" w:hAnsiTheme="minorHAnsi" w:cstheme="minorHAnsi"/>
        </w:rPr>
        <w:t>)</w:t>
      </w:r>
      <w:r w:rsidRPr="00BE1410">
        <w:rPr>
          <w:rStyle w:val="Footnote1"/>
          <w:rFonts w:asciiTheme="minorHAnsi" w:hAnsiTheme="minorHAnsi" w:cstheme="minorHAnsi"/>
        </w:rPr>
        <w:t xml:space="preserve"> niniejszej dyrektywy; oraz </w:t>
      </w:r>
      <w:r w:rsidRPr="00BE1410">
        <w:rPr>
          <w:rStyle w:val="Footnote1"/>
          <w:rFonts w:asciiTheme="minorHAnsi" w:hAnsiTheme="minorHAnsi" w:cstheme="minorHAnsi"/>
          <w:b/>
        </w:rPr>
        <w:t>sekcja E ust. 1 lit. e) ICD:</w:t>
      </w:r>
      <w:r w:rsidRPr="00BE1410">
        <w:rPr>
          <w:rStyle w:val="Footnote1"/>
          <w:rFonts w:asciiTheme="minorHAnsi" w:hAnsiTheme="minorHAnsi" w:cstheme="minorHAnsi"/>
        </w:rPr>
        <w:t xml:space="preserve"> „Przekazanie skargi przez właściwy organ publiczny w kwalifikującym się państwie </w:t>
      </w:r>
      <w:r w:rsidRPr="00BE1410">
        <w:rPr>
          <w:rStyle w:val="Footnote1"/>
          <w:rFonts w:asciiTheme="minorHAnsi" w:hAnsiTheme="minorHAnsi" w:cstheme="minorHAnsi"/>
          <w:b/>
        </w:rPr>
        <w:t xml:space="preserve">musi również zawierać opis sposobu, w jaki organ zweryfikował tożsamość skarżącego. </w:t>
      </w:r>
      <w:r w:rsidRPr="00BE1410">
        <w:rPr>
          <w:rStyle w:val="Footnote1"/>
          <w:rFonts w:asciiTheme="minorHAnsi" w:hAnsiTheme="minorHAnsi" w:cstheme="minorHAnsi"/>
        </w:rPr>
        <w:t>CLPO polega na weryfikacji tożsamości skarżącego przez właściwy organ publiczny w kwalifikującym się państwie, ale jeżeli informacje dostarczone przez odpowiedni organ publiczny w kwalifikującym się państwie lub późniejsze postępowanie wyjaśniające w sprawie skargi podważają tożsamość skarżącego, CLPO może zwrócić się do organu publicznego w kwalifikującym się państwie o dodatkowe informacje w sposób, który nie ujawnia źródeł lub metod wywiadowczych lub w inny sposób wskazuje, czy dana osoba faktycznie była przedmiotem działań w zakresie rozpoznania radioelektronicznego”.</w:t>
      </w:r>
    </w:p>
  </w:footnote>
  <w:footnote w:id="4">
    <w:p w14:paraId="3E98DCBB" w14:textId="6FD117D1" w:rsidR="0022050D" w:rsidRPr="00BE1410" w:rsidRDefault="00750E3C">
      <w:pPr>
        <w:pStyle w:val="Footnote10"/>
        <w:jc w:val="both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685A42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Sekcja E ust. 1 lit. f) ICD stanowi, że: „Jeżeli CLPO stwierdzi, że skarga nie jest skargą kwalifikującą, ponieważ nie spełnia warunków określonych w sekcji E</w:t>
      </w:r>
      <w:r w:rsidR="00E3585D" w:rsidRPr="00BE1410">
        <w:rPr>
          <w:rStyle w:val="Footnote1"/>
          <w:rFonts w:asciiTheme="minorHAnsi" w:hAnsiTheme="minorHAnsi" w:cstheme="minorHAnsi"/>
        </w:rPr>
        <w:t xml:space="preserve"> ust. 1 lit. </w:t>
      </w:r>
      <w:r w:rsidRPr="00BE1410">
        <w:rPr>
          <w:rStyle w:val="Footnote1"/>
          <w:rFonts w:asciiTheme="minorHAnsi" w:hAnsiTheme="minorHAnsi" w:cstheme="minorHAnsi"/>
        </w:rPr>
        <w:t>c</w:t>
      </w:r>
      <w:r w:rsidR="00E3585D" w:rsidRPr="00BE1410">
        <w:rPr>
          <w:rStyle w:val="Footnote1"/>
          <w:rFonts w:asciiTheme="minorHAnsi" w:hAnsiTheme="minorHAnsi" w:cstheme="minorHAnsi"/>
        </w:rPr>
        <w:t>)</w:t>
      </w:r>
      <w:r w:rsidRPr="00BE1410">
        <w:rPr>
          <w:rStyle w:val="Footnote1"/>
          <w:rFonts w:asciiTheme="minorHAnsi" w:hAnsiTheme="minorHAnsi" w:cstheme="minorHAnsi"/>
        </w:rPr>
        <w:t xml:space="preserve"> lub nie spełnia warunków określonych w sekcji E</w:t>
      </w:r>
      <w:r w:rsidR="00E3585D" w:rsidRPr="00BE1410">
        <w:rPr>
          <w:rStyle w:val="Footnote1"/>
          <w:rFonts w:asciiTheme="minorHAnsi" w:hAnsiTheme="minorHAnsi" w:cstheme="minorHAnsi"/>
        </w:rPr>
        <w:t xml:space="preserve"> ust. </w:t>
      </w:r>
      <w:r w:rsidRPr="00BE1410">
        <w:rPr>
          <w:rStyle w:val="Footnote1"/>
          <w:rFonts w:asciiTheme="minorHAnsi" w:hAnsiTheme="minorHAnsi" w:cstheme="minorHAnsi"/>
        </w:rPr>
        <w:t>1</w:t>
      </w:r>
      <w:r w:rsidR="00E3585D" w:rsidRPr="00BE1410">
        <w:rPr>
          <w:rStyle w:val="Footnote1"/>
          <w:rFonts w:asciiTheme="minorHAnsi" w:hAnsiTheme="minorHAnsi" w:cstheme="minorHAnsi"/>
        </w:rPr>
        <w:t xml:space="preserve"> lit. d)</w:t>
      </w:r>
      <w:r w:rsidRPr="00BE1410">
        <w:rPr>
          <w:rStyle w:val="Footnote1"/>
          <w:rFonts w:asciiTheme="minorHAnsi" w:hAnsiTheme="minorHAnsi" w:cstheme="minorHAnsi"/>
        </w:rPr>
        <w:t xml:space="preserve"> niniejszej dyrektywy, CLPO przekaże właściwemu organowi publicznemu w stanie kwalifikującym pisemne powiadomienie o brakach w skardze za pośrednictwem </w:t>
      </w:r>
      <w:r w:rsidRPr="00BE1410">
        <w:rPr>
          <w:rStyle w:val="Footnote1"/>
          <w:rFonts w:asciiTheme="minorHAnsi" w:hAnsiTheme="minorHAnsi" w:cstheme="minorHAnsi"/>
          <w:b/>
        </w:rPr>
        <w:t xml:space="preserve">zaszyfrowanej komunikacji elektronicznej i w języku angielskim.”; </w:t>
      </w:r>
    </w:p>
  </w:footnote>
  <w:footnote w:id="5">
    <w:p w14:paraId="0958C94E" w14:textId="0C40D115" w:rsidR="0022050D" w:rsidRPr="00BE1410" w:rsidRDefault="00750E3C">
      <w:pPr>
        <w:pStyle w:val="Footnote10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Sekcja 3 lit. d) ppkt (v) ppkt C rozporządzenia wykonawczego 14086.</w:t>
      </w:r>
    </w:p>
  </w:footnote>
  <w:footnote w:id="6">
    <w:p w14:paraId="2E2F60DF" w14:textId="4D786BB2" w:rsidR="0022050D" w:rsidRPr="00BE1410" w:rsidRDefault="00750E3C">
      <w:pPr>
        <w:pStyle w:val="Footnote10"/>
        <w:jc w:val="both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„BTLE ESG” odnosi się do podgrupy EROD ds. granic, podróży i egzekwowania prawa.</w:t>
      </w:r>
    </w:p>
  </w:footnote>
  <w:footnote w:id="7">
    <w:p w14:paraId="6AA412F1" w14:textId="348710F8" w:rsidR="0022050D" w:rsidRPr="00BE1410" w:rsidRDefault="00750E3C">
      <w:pPr>
        <w:pStyle w:val="Footnote10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Zob. przypis 4.</w:t>
      </w:r>
    </w:p>
  </w:footnote>
  <w:footnote w:id="8">
    <w:p w14:paraId="33778FC7" w14:textId="1FC85E63" w:rsidR="0022050D" w:rsidRPr="00BE1410" w:rsidRDefault="00750E3C">
      <w:pPr>
        <w:pStyle w:val="Footnote10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Sekcja 3 lit. d) ppkt (v) ppkt C rozporządzenia wykonawczego 14086</w:t>
      </w:r>
    </w:p>
  </w:footnote>
  <w:footnote w:id="9">
    <w:p w14:paraId="0CD3922C" w14:textId="64D9C3D2" w:rsidR="0022050D" w:rsidRDefault="00750E3C">
      <w:pPr>
        <w:pStyle w:val="Footnote10"/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Sekcja 3 lit. d) ppkt (v) ppkt C rozporządzenia wykonawczego 14086.</w:t>
      </w:r>
    </w:p>
  </w:footnote>
  <w:footnote w:id="10">
    <w:p w14:paraId="2B9B6366" w14:textId="113A308D" w:rsidR="0022050D" w:rsidRPr="00BE1410" w:rsidRDefault="00750E3C">
      <w:pPr>
        <w:pStyle w:val="Footnote10"/>
        <w:jc w:val="both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Rozporządzenie wykonawcze 14086, sekcja 4 lit. k) ppkt (v) i) dyrektywy Wspólnoty Wywiadowczej (ICD), sekcje E ust. 1 lit. c) pkt 8 i E ust. 1 lit. e).</w:t>
      </w:r>
    </w:p>
  </w:footnote>
  <w:footnote w:id="11">
    <w:p w14:paraId="0341097D" w14:textId="00653BDC" w:rsidR="0022050D" w:rsidRPr="00BE1410" w:rsidRDefault="00750E3C">
      <w:pPr>
        <w:pStyle w:val="Footnote10"/>
        <w:rPr>
          <w:rFonts w:asciiTheme="minorHAnsi" w:hAnsiTheme="minorHAnsi" w:cstheme="minorHAnsi"/>
        </w:rPr>
      </w:pPr>
      <w:r w:rsidRPr="00BE1410">
        <w:rPr>
          <w:rStyle w:val="Footnote1"/>
          <w:rFonts w:asciiTheme="minorHAnsi" w:hAnsiTheme="minorHAnsi" w:cstheme="minorHAnsi"/>
        </w:rPr>
        <w:footnoteRef/>
      </w:r>
      <w:r w:rsidR="00526838" w:rsidRPr="00BE1410">
        <w:rPr>
          <w:rStyle w:val="Footnote1"/>
          <w:rFonts w:asciiTheme="minorHAnsi" w:hAnsiTheme="minorHAnsi" w:cstheme="minorHAnsi"/>
        </w:rPr>
        <w:t xml:space="preserve"> </w:t>
      </w:r>
      <w:r w:rsidRPr="00BE1410">
        <w:rPr>
          <w:rStyle w:val="Footnote1"/>
          <w:rFonts w:asciiTheme="minorHAnsi" w:hAnsiTheme="minorHAnsi" w:cstheme="minorHAnsi"/>
        </w:rPr>
        <w:t>Rozporządzenie wykonawcze 14086, sekcja 4 lit. k) ppkt (v) oraz) dyrektywa Wspólnoty Wywiadowczej (ICD), sekcja E pkt 1 lit. c) ppkt 8.</w:t>
      </w:r>
    </w:p>
  </w:footnote>
  <w:footnote w:id="12">
    <w:p w14:paraId="7115B42F" w14:textId="5617EEF9" w:rsidR="0022050D" w:rsidRDefault="00750E3C">
      <w:pPr>
        <w:pStyle w:val="Footnote10"/>
        <w:jc w:val="both"/>
      </w:pPr>
      <w:r>
        <w:rPr>
          <w:rStyle w:val="Footnote1"/>
        </w:rPr>
        <w:footnoteRef/>
      </w:r>
      <w:r w:rsidR="00043427">
        <w:rPr>
          <w:rStyle w:val="Footnote1"/>
        </w:rPr>
        <w:t xml:space="preserve"> Tytuł </w:t>
      </w:r>
      <w:r>
        <w:rPr>
          <w:rStyle w:val="Footnote1"/>
        </w:rPr>
        <w:t xml:space="preserve">28 </w:t>
      </w:r>
      <w:r w:rsidR="00043427">
        <w:rPr>
          <w:rStyle w:val="Footnote1"/>
        </w:rPr>
        <w:t>kodeksu przepisów federalnych (</w:t>
      </w:r>
      <w:r>
        <w:rPr>
          <w:rStyle w:val="Footnote1"/>
        </w:rPr>
        <w:t>CFR</w:t>
      </w:r>
      <w:r w:rsidR="00043427">
        <w:rPr>
          <w:rStyle w:val="Footnote1"/>
        </w:rPr>
        <w:t>)</w:t>
      </w:r>
      <w:r>
        <w:rPr>
          <w:rStyle w:val="Footnote1"/>
        </w:rPr>
        <w:t xml:space="preserve"> § 201.6 lit. a) rozporządzenia o Prokuratorze Generalnym stanowi, że skarżący „może złożyć wniosek o </w:t>
      </w:r>
      <w:r w:rsidR="00AB2638">
        <w:rPr>
          <w:rStyle w:val="Footnote1"/>
        </w:rPr>
        <w:t>kontrolę</w:t>
      </w:r>
      <w:r>
        <w:rPr>
          <w:rStyle w:val="Footnote1"/>
        </w:rPr>
        <w:t xml:space="preserve"> przez DPRC ustalenia dokonanego przez </w:t>
      </w:r>
      <w:r w:rsidR="00AB2638">
        <w:rPr>
          <w:rStyle w:val="Footnote1"/>
        </w:rPr>
        <w:t>ODNI CLPO</w:t>
      </w:r>
      <w:r>
        <w:rPr>
          <w:rStyle w:val="Footnote1"/>
        </w:rPr>
        <w:t xml:space="preserve"> w odpowiedzi na kwalifikującą się skargę złożoną przez skarżącego, składając wniosek o ponowne rozpatrzenie do </w:t>
      </w:r>
      <w:r>
        <w:rPr>
          <w:rStyle w:val="Footnote1"/>
          <w:u w:val="single"/>
        </w:rPr>
        <w:t>odpowiedniego organu publicznego</w:t>
      </w:r>
      <w:r>
        <w:rPr>
          <w:rStyle w:val="Footnote1"/>
        </w:rPr>
        <w:t xml:space="preserve"> w kwalifikującym się państwie, w celu przekazania do OPCL nie później niż sześćdziesiąt (60) dni po dacie </w:t>
      </w:r>
      <w:r>
        <w:rPr>
          <w:rStyle w:val="Footnote1"/>
          <w:u w:val="single"/>
        </w:rPr>
        <w:t>zgłoszonej OPCL przez odpowiedni organ publiczny w kwalifikującym się państwie,</w:t>
      </w:r>
      <w:r>
        <w:rPr>
          <w:rStyle w:val="Footnote1"/>
        </w:rPr>
        <w:t xml:space="preserve"> w której skarżący otrzymuje powiadomienie, że </w:t>
      </w:r>
      <w:r w:rsidR="00056276">
        <w:rPr>
          <w:rStyle w:val="Footnote1"/>
        </w:rPr>
        <w:t xml:space="preserve">ODNI CLPO </w:t>
      </w:r>
      <w:r>
        <w:rPr>
          <w:rStyle w:val="Footnote1"/>
        </w:rPr>
        <w:t xml:space="preserve">zakończył </w:t>
      </w:r>
      <w:r w:rsidR="00056276">
        <w:rPr>
          <w:rStyle w:val="Footnote1"/>
        </w:rPr>
        <w:t>kontrolę</w:t>
      </w:r>
      <w:r>
        <w:rPr>
          <w:rStyle w:val="Footnote1"/>
        </w:rPr>
        <w:t xml:space="preserve">”; zob. również 28 CFR 201.10 rozporządzenia prokuratora generalnego stanowiącego, że rozporządzenie wykonawcze 14086 i jego warunki są interpretowane przez DPRC </w:t>
      </w:r>
      <w:r>
        <w:rPr>
          <w:rStyle w:val="Footnote1"/>
          <w:u w:val="single"/>
        </w:rPr>
        <w:t>wyłącznie</w:t>
      </w:r>
      <w:r>
        <w:rPr>
          <w:rStyle w:val="Footnote1"/>
        </w:rPr>
        <w:t xml:space="preserve"> w świetle prawa Stanów Zjednoczonych i tradycji prawnej Stanów Zjednoczonych oraz że kontrola wniosku przez DPRC odbywa się na podstawie odpowiednich orzeczeń Sądu Najwyższego Stanów Zjednoczonych w taki sam sposób, jak w przypadku sądów ustanowionych na mocy art. III konstytucji Stanów Zjednoczonych.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7F67"/>
    <w:multiLevelType w:val="multilevel"/>
    <w:tmpl w:val="CC58E37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D43A01"/>
    <w:multiLevelType w:val="multilevel"/>
    <w:tmpl w:val="E0C202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B66BEE"/>
    <w:multiLevelType w:val="multilevel"/>
    <w:tmpl w:val="B71AD9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C731A4"/>
    <w:multiLevelType w:val="multilevel"/>
    <w:tmpl w:val="52A847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506224"/>
    <w:multiLevelType w:val="multilevel"/>
    <w:tmpl w:val="AFBC4F9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2"/>
        <w:szCs w:val="4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0D"/>
    <w:rsid w:val="00042FC9"/>
    <w:rsid w:val="00043427"/>
    <w:rsid w:val="00056276"/>
    <w:rsid w:val="000802D8"/>
    <w:rsid w:val="001A480C"/>
    <w:rsid w:val="0022050D"/>
    <w:rsid w:val="00350747"/>
    <w:rsid w:val="00396595"/>
    <w:rsid w:val="004026CB"/>
    <w:rsid w:val="00404B35"/>
    <w:rsid w:val="0044553C"/>
    <w:rsid w:val="004523D0"/>
    <w:rsid w:val="00491BF3"/>
    <w:rsid w:val="00503489"/>
    <w:rsid w:val="00526838"/>
    <w:rsid w:val="00555312"/>
    <w:rsid w:val="005A5251"/>
    <w:rsid w:val="005C0EA7"/>
    <w:rsid w:val="005D014D"/>
    <w:rsid w:val="005D5A6F"/>
    <w:rsid w:val="006132E3"/>
    <w:rsid w:val="0067185A"/>
    <w:rsid w:val="00685A42"/>
    <w:rsid w:val="00750E3C"/>
    <w:rsid w:val="00767923"/>
    <w:rsid w:val="00853DA5"/>
    <w:rsid w:val="00904B17"/>
    <w:rsid w:val="009A7910"/>
    <w:rsid w:val="009B5997"/>
    <w:rsid w:val="00AB2638"/>
    <w:rsid w:val="00BE1410"/>
    <w:rsid w:val="00C846AF"/>
    <w:rsid w:val="00D211AB"/>
    <w:rsid w:val="00DA6905"/>
    <w:rsid w:val="00DB4C53"/>
    <w:rsid w:val="00DD0640"/>
    <w:rsid w:val="00DD0D10"/>
    <w:rsid w:val="00E3585D"/>
    <w:rsid w:val="00E71585"/>
    <w:rsid w:val="00EA50CF"/>
    <w:rsid w:val="00FA0710"/>
    <w:rsid w:val="00FA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4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b w:val="0"/>
      <w:i w:val="0"/>
      <w:smallCaps w:val="0"/>
      <w:strike w:val="0"/>
      <w:sz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Calibri" w:eastAsia="Calibri" w:hAnsi="Calibri" w:cs="Calibri"/>
      <w:b w:val="0"/>
      <w:i w:val="0"/>
      <w:smallCaps w:val="0"/>
      <w:strike w:val="0"/>
      <w:color w:val="B8B8B8"/>
      <w:sz w:val="14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Calibri" w:eastAsia="Calibri" w:hAnsi="Calibri" w:cs="Calibri"/>
      <w:b/>
      <w:i w:val="0"/>
      <w:smallCaps w:val="0"/>
      <w:strike w:val="0"/>
      <w:color w:val="004494"/>
      <w:sz w:val="36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Calibri" w:eastAsia="Calibri" w:hAnsi="Calibri" w:cs="Calibri"/>
      <w:b/>
      <w:i w:val="0"/>
      <w:smallCaps w:val="0"/>
      <w:strike w:val="0"/>
      <w:color w:val="004494"/>
      <w:sz w:val="32"/>
      <w:u w:val="none"/>
    </w:rPr>
  </w:style>
  <w:style w:type="character" w:customStyle="1" w:styleId="Bodytext1">
    <w:name w:val="Body text|1_"/>
    <w:basedOn w:val="Domylnaczcionkaakapitu"/>
    <w:link w:val="Bodytext10"/>
    <w:rPr>
      <w:b w:val="0"/>
      <w:i w:val="0"/>
      <w:smallCaps w:val="0"/>
      <w:strike w:val="0"/>
      <w:color w:val="333333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i w:val="0"/>
      <w:smallCaps w:val="0"/>
      <w:strike w:val="0"/>
      <w:sz w:val="20"/>
      <w:u w:val="none"/>
    </w:rPr>
  </w:style>
  <w:style w:type="character" w:customStyle="1" w:styleId="Heading11">
    <w:name w:val="Heading #1|1_"/>
    <w:basedOn w:val="Domylnaczcionkaakapitu"/>
    <w:link w:val="Heading110"/>
    <w:rPr>
      <w:b/>
      <w:i w:val="0"/>
      <w:smallCaps w:val="0"/>
      <w:strike w:val="0"/>
      <w:color w:val="333333"/>
      <w:u w:val="none"/>
    </w:rPr>
  </w:style>
  <w:style w:type="paragraph" w:customStyle="1" w:styleId="Footnote10">
    <w:name w:val="Footnote|1"/>
    <w:basedOn w:val="Normalny"/>
    <w:link w:val="Footnote1"/>
    <w:rPr>
      <w:sz w:val="20"/>
    </w:rPr>
  </w:style>
  <w:style w:type="paragraph" w:customStyle="1" w:styleId="Picturecaption10">
    <w:name w:val="Picture caption|1"/>
    <w:basedOn w:val="Normalny"/>
    <w:link w:val="Picturecaption1"/>
    <w:pPr>
      <w:spacing w:line="180" w:lineRule="auto"/>
      <w:ind w:firstLine="190"/>
    </w:pPr>
    <w:rPr>
      <w:rFonts w:ascii="Calibri" w:eastAsia="Calibri" w:hAnsi="Calibri" w:cs="Calibri"/>
      <w:color w:val="B8B8B8"/>
      <w:sz w:val="14"/>
    </w:rPr>
  </w:style>
  <w:style w:type="paragraph" w:customStyle="1" w:styleId="Bodytext20">
    <w:name w:val="Body text|2"/>
    <w:basedOn w:val="Normalny"/>
    <w:link w:val="Bodytext2"/>
    <w:pPr>
      <w:spacing w:after="480" w:line="271" w:lineRule="auto"/>
      <w:jc w:val="center"/>
    </w:pPr>
    <w:rPr>
      <w:rFonts w:ascii="Calibri" w:eastAsia="Calibri" w:hAnsi="Calibri" w:cs="Calibri"/>
      <w:b/>
      <w:color w:val="004494"/>
      <w:sz w:val="36"/>
    </w:rPr>
  </w:style>
  <w:style w:type="paragraph" w:customStyle="1" w:styleId="Bodytext30">
    <w:name w:val="Body text|3"/>
    <w:basedOn w:val="Normalny"/>
    <w:link w:val="Bodytext3"/>
    <w:pPr>
      <w:spacing w:after="480"/>
      <w:jc w:val="center"/>
    </w:pPr>
    <w:rPr>
      <w:rFonts w:ascii="Calibri" w:eastAsia="Calibri" w:hAnsi="Calibri" w:cs="Calibri"/>
      <w:b/>
      <w:color w:val="004494"/>
      <w:sz w:val="32"/>
    </w:rPr>
  </w:style>
  <w:style w:type="paragraph" w:customStyle="1" w:styleId="Bodytext10">
    <w:name w:val="Body text|1"/>
    <w:basedOn w:val="Normalny"/>
    <w:link w:val="Bodytext1"/>
    <w:pPr>
      <w:spacing w:after="160"/>
    </w:pPr>
    <w:rPr>
      <w:color w:val="333333"/>
    </w:rPr>
  </w:style>
  <w:style w:type="paragraph" w:customStyle="1" w:styleId="Headerorfooter20">
    <w:name w:val="Header or footer|2"/>
    <w:basedOn w:val="Normalny"/>
    <w:link w:val="Headerorfooter2"/>
    <w:rPr>
      <w:sz w:val="20"/>
    </w:rPr>
  </w:style>
  <w:style w:type="paragraph" w:customStyle="1" w:styleId="Heading110">
    <w:name w:val="Heading #1|1"/>
    <w:basedOn w:val="Normalny"/>
    <w:link w:val="Heading11"/>
    <w:pPr>
      <w:spacing w:after="160"/>
      <w:outlineLvl w:val="0"/>
    </w:pPr>
    <w:rPr>
      <w:b/>
      <w:color w:val="33333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9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90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D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5A6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D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5A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ni.gov/files/documents/ICD/ICD_126-Implementation-Procedures-for-SIGINT-Redress-Mechanis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2024-07-26T12:32:00Z</dcterms:created>
  <dcterms:modified xsi:type="dcterms:W3CDTF">2024-12-02T13:39:00Z</dcterms:modified>
</cp:coreProperties>
</file>